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ind w:left="-59" w:leftChars="-95" w:hanging="140" w:hangingChars="27"/>
        <w:jc w:val="center"/>
        <w:rPr>
          <w:rFonts w:hint="eastAsia" w:ascii="楷体" w:hAnsi="楷体" w:eastAsia="楷体"/>
          <w:b/>
          <w:sz w:val="52"/>
          <w:szCs w:val="52"/>
        </w:rPr>
      </w:pPr>
      <w:r>
        <w:rPr>
          <w:rFonts w:hint="eastAsia" w:ascii="楷体" w:hAnsi="楷体" w:eastAsia="楷体"/>
          <w:b/>
          <w:sz w:val="52"/>
          <w:szCs w:val="52"/>
        </w:rPr>
        <w:t>本溪市明山区</w:t>
      </w:r>
      <w:r>
        <w:rPr>
          <w:rFonts w:hint="eastAsia" w:ascii="楷体" w:hAnsi="楷体" w:eastAsia="楷体" w:cs="楷体"/>
          <w:b/>
          <w:bCs/>
          <w:kern w:val="0"/>
          <w:sz w:val="52"/>
          <w:szCs w:val="52"/>
          <w:lang w:val="en-US" w:eastAsia="zh-CN" w:bidi="ar"/>
        </w:rPr>
        <w:t>武装部</w:t>
      </w:r>
      <w:r>
        <w:rPr>
          <w:rFonts w:hint="eastAsia" w:ascii="楷体" w:hAnsi="楷体" w:eastAsia="楷体"/>
          <w:b/>
          <w:sz w:val="52"/>
          <w:szCs w:val="52"/>
        </w:rPr>
        <w:t>预算</w:t>
      </w:r>
    </w:p>
    <w:p>
      <w:pPr>
        <w:jc w:val="center"/>
        <w:rPr>
          <w:rFonts w:hint="eastAsia" w:ascii="楷体" w:hAnsi="楷体" w:eastAsia="楷体"/>
          <w:b/>
          <w:sz w:val="52"/>
          <w:szCs w:val="52"/>
        </w:rPr>
      </w:pPr>
      <w:r>
        <w:rPr>
          <w:rFonts w:hint="eastAsia" w:ascii="楷体" w:hAnsi="楷体" w:eastAsia="楷体"/>
          <w:b/>
          <w:sz w:val="52"/>
          <w:szCs w:val="52"/>
        </w:rPr>
        <w:t>（20</w:t>
      </w:r>
      <w:r>
        <w:rPr>
          <w:rFonts w:hint="eastAsia" w:ascii="楷体" w:hAnsi="楷体" w:eastAsia="楷体"/>
          <w:b/>
          <w:sz w:val="52"/>
          <w:szCs w:val="52"/>
          <w:lang w:val="en-US" w:eastAsia="zh-CN"/>
        </w:rPr>
        <w:t>20</w:t>
      </w:r>
      <w:r>
        <w:rPr>
          <w:rFonts w:hint="eastAsia" w:ascii="楷体" w:hAnsi="楷体" w:eastAsia="楷体"/>
          <w:b/>
          <w:sz w:val="52"/>
          <w:szCs w:val="52"/>
        </w:rPr>
        <w:t>年）</w:t>
      </w: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ascii="Verdana" w:hAnsi="Verdana" w:eastAsia="宋体" w:cs="Verdana"/>
          <w:kern w:val="0"/>
          <w:sz w:val="18"/>
          <w:szCs w:val="18"/>
          <w:lang w:val="en-US" w:eastAsia="zh-CN" w:bidi="ar"/>
        </w:rPr>
      </w:pPr>
    </w:p>
    <w:p>
      <w:pPr>
        <w:rPr>
          <w:rFonts w:hint="eastAsia"/>
          <w:b/>
          <w:sz w:val="44"/>
          <w:szCs w:val="44"/>
        </w:rPr>
      </w:pPr>
    </w:p>
    <w:p>
      <w:pPr>
        <w:rPr>
          <w:rFonts w:hint="eastAsia"/>
          <w:b/>
          <w:sz w:val="44"/>
          <w:szCs w:val="44"/>
        </w:rPr>
      </w:pPr>
    </w:p>
    <w:p>
      <w:pPr>
        <w:jc w:val="center"/>
        <w:rPr>
          <w:rFonts w:hint="eastAsia"/>
          <w:b/>
          <w:sz w:val="44"/>
          <w:szCs w:val="44"/>
        </w:rPr>
      </w:pPr>
      <w:r>
        <w:rPr>
          <w:rFonts w:hint="eastAsia"/>
          <w:b/>
          <w:sz w:val="44"/>
          <w:szCs w:val="44"/>
        </w:rPr>
        <w:t>目    录</w:t>
      </w:r>
    </w:p>
    <w:p>
      <w:pPr>
        <w:rPr>
          <w:rFonts w:hint="eastAsia"/>
          <w:b/>
          <w:sz w:val="44"/>
          <w:szCs w:val="44"/>
          <w:u w:val="single"/>
        </w:rPr>
      </w:pPr>
    </w:p>
    <w:p>
      <w:pPr>
        <w:rPr>
          <w:rFonts w:hint="eastAsia"/>
          <w:b/>
          <w:sz w:val="44"/>
          <w:szCs w:val="44"/>
          <w:u w:val="single"/>
        </w:rPr>
      </w:pPr>
    </w:p>
    <w:p>
      <w:pPr>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cs="黑体"/>
          <w:kern w:val="0"/>
          <w:sz w:val="32"/>
          <w:szCs w:val="32"/>
          <w:lang w:val="en-US" w:eastAsia="zh-CN" w:bidi="ar"/>
        </w:rPr>
        <w:t>本溪市明山区武装部概况</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rPr>
        <w:t>主要职责</w:t>
      </w:r>
    </w:p>
    <w:p>
      <w:pPr>
        <w:rPr>
          <w:rFonts w:hint="eastAsia" w:ascii="黑体" w:hAnsi="黑体" w:eastAsia="黑体"/>
          <w:sz w:val="32"/>
          <w:szCs w:val="32"/>
        </w:rPr>
      </w:pPr>
      <w:r>
        <w:rPr>
          <w:rFonts w:hint="eastAsia" w:ascii="黑体" w:hAnsi="黑体" w:eastAsia="黑体"/>
          <w:sz w:val="32"/>
          <w:szCs w:val="32"/>
        </w:rPr>
        <w:t>第二部分  本溪市明山区</w:t>
      </w:r>
      <w:r>
        <w:rPr>
          <w:rFonts w:hint="eastAsia" w:ascii="黑体" w:hAnsi="黑体" w:eastAsia="黑体"/>
          <w:sz w:val="32"/>
          <w:szCs w:val="32"/>
          <w:lang w:eastAsia="zh-CN"/>
        </w:rPr>
        <w:t>武装部</w:t>
      </w:r>
      <w:r>
        <w:rPr>
          <w:rFonts w:hint="eastAsia" w:ascii="黑体" w:hAnsi="黑体" w:eastAsia="黑体"/>
          <w:sz w:val="32"/>
          <w:szCs w:val="32"/>
        </w:rPr>
        <w:t>20</w:t>
      </w:r>
      <w:r>
        <w:rPr>
          <w:rFonts w:hint="eastAsia" w:ascii="黑体" w:hAnsi="黑体" w:eastAsia="黑体"/>
          <w:sz w:val="32"/>
          <w:szCs w:val="32"/>
          <w:lang w:val="en-US" w:eastAsia="zh-CN"/>
        </w:rPr>
        <w:t>20</w:t>
      </w:r>
      <w:r>
        <w:rPr>
          <w:rFonts w:hint="eastAsia" w:ascii="黑体" w:hAnsi="黑体" w:eastAsia="黑体"/>
          <w:sz w:val="32"/>
          <w:szCs w:val="32"/>
        </w:rPr>
        <w:t>年部门预算表</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第三部分  本溪市明山区武装部2020年部门预算情况说明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一、2020年收支预算情况的总体说明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二、2020年一般公共预算当年财政拨款情况说明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三、2020年一般公共</w:t>
      </w:r>
      <w:bookmarkStart w:id="0" w:name="_GoBack"/>
      <w:bookmarkEnd w:id="0"/>
      <w:r>
        <w:rPr>
          <w:rFonts w:hint="eastAsia" w:ascii="仿宋_GB2312" w:hAnsi="仿宋_GB2312" w:eastAsia="仿宋_GB2312" w:cs="仿宋_GB2312"/>
          <w:kern w:val="0"/>
          <w:sz w:val="32"/>
          <w:szCs w:val="32"/>
          <w:lang w:val="en-US" w:eastAsia="zh-CN" w:bidi="ar"/>
        </w:rPr>
        <w:t>预算基本支出情况说明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四、关于2020年“三公”经费预算情况说明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五、关于政府性基金预算支出情况的说明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六、关于2020年部门收支总体情况的说明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七、关于2020年部门收入总体情况的说明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八、关于2020年部门支出总体情况的说明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九、关于本溪市明山区武装部2020年政府采购预算安排情况的说明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十、其他重点工作情况说明</w:t>
      </w:r>
    </w:p>
    <w:p>
      <w:pPr>
        <w:rPr>
          <w:rFonts w:hint="eastAsia" w:ascii="黑体" w:hAnsi="黑体" w:eastAsia="黑体"/>
          <w:sz w:val="32"/>
          <w:szCs w:val="32"/>
        </w:rPr>
      </w:pPr>
      <w:r>
        <w:rPr>
          <w:rFonts w:hint="eastAsia" w:ascii="黑体" w:hAnsi="黑体" w:eastAsia="黑体"/>
          <w:sz w:val="32"/>
          <w:szCs w:val="32"/>
        </w:rPr>
        <w:t>第四部分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ascii="Verdana" w:hAnsi="Verdana" w:eastAsia="宋体" w:cs="Verdana"/>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ascii="Verdana" w:hAnsi="Verdana" w:eastAsia="宋体" w:cs="Verdana"/>
          <w:kern w:val="0"/>
          <w:sz w:val="18"/>
          <w:szCs w:val="18"/>
          <w:lang w:val="en-US" w:eastAsia="zh-CN" w:bidi="ar"/>
        </w:rPr>
      </w:pPr>
    </w:p>
    <w:p>
      <w:pPr>
        <w:pStyle w:val="3"/>
        <w:jc w:val="center"/>
      </w:pPr>
      <w:r>
        <w:rPr>
          <w:rFonts w:hint="default"/>
          <w:lang w:val="en-US" w:eastAsia="zh-CN"/>
        </w:rPr>
        <w:t>第一部分 本溪市明山区武装部概况</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sz w:val="32"/>
          <w:szCs w:val="32"/>
        </w:rPr>
      </w:pPr>
      <w:r>
        <w:rPr>
          <w:rFonts w:hint="eastAsia" w:ascii="黑体" w:hAnsi="黑体" w:eastAsia="黑体" w:cs="黑体"/>
          <w:kern w:val="0"/>
          <w:sz w:val="32"/>
          <w:szCs w:val="32"/>
          <w:lang w:val="en-US" w:eastAsia="zh-CN" w:bidi="ar"/>
        </w:rPr>
        <w:t>一、主要职责</w:t>
      </w:r>
    </w:p>
    <w:p>
      <w:pPr>
        <w:keepNext w:val="0"/>
        <w:keepLines w:val="0"/>
        <w:widowControl/>
        <w:suppressLineNumbers w:val="0"/>
        <w:pBdr>
          <w:top w:val="none" w:color="auto" w:sz="0" w:space="0"/>
          <w:left w:val="none" w:color="auto" w:sz="0" w:space="0"/>
          <w:bottom w:val="none" w:color="auto" w:sz="0" w:space="0"/>
          <w:right w:val="none" w:color="auto" w:sz="0" w:space="0"/>
        </w:pBdr>
        <w:ind w:firstLine="540"/>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人武部是本地区军事领导指挥机关，既是本地区党的委员会的军事部，又是同级人民政府的兵役工作机关，接受地方党委、政府和上级军事机关的双重领导。主要担负所在地区民兵的组织、训练、指挥和兵役、动员、支前等任务。其职责：</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（1）负责民兵组织建设和武器装备的管理。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（2）负责民兵、预备役人员的军事训练和政治教育。</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（3）负责组织带领民兵完成战备执勤任务，组织民兵参加两个文明建设。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（4）负责民兵预备役人员的登记统计工作。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（5）协同教育部门对学生实施军事训练。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（6）负责征兵、招收飞行员工作。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（7）负责拟制本区域内的战时动员计划，会同有关部门在平时做好战时动员的各项准备工作。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（8）负责对专职武装干部的管理。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（9）协同有关部门做好现役军人的安置和烈军属的优抚工作。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default" w:ascii="Verdana" w:hAnsi="Verdana" w:cs="Verdana"/>
          <w:sz w:val="30"/>
          <w:szCs w:val="30"/>
        </w:rPr>
      </w:pPr>
      <w:r>
        <w:rPr>
          <w:rFonts w:hint="eastAsia" w:ascii="仿宋_GB2312" w:hAnsi="仿宋_GB2312" w:eastAsia="仿宋_GB2312" w:cs="仿宋_GB2312"/>
          <w:kern w:val="0"/>
          <w:sz w:val="30"/>
          <w:szCs w:val="30"/>
          <w:lang w:val="en-US" w:eastAsia="zh-CN" w:bidi="ar"/>
        </w:rPr>
        <w:t>（10）战时负责组织实施兵员动员和带领民兵参军参战，支援前线、保卫后方等各项任务。</w:t>
      </w:r>
    </w:p>
    <w:p>
      <w:pPr>
        <w:pStyle w:val="3"/>
        <w:jc w:val="center"/>
        <w:rPr>
          <w:rStyle w:val="7"/>
          <w:rFonts w:hint="eastAsia"/>
          <w:lang w:val="en-US" w:eastAsia="zh-CN"/>
        </w:rPr>
      </w:pPr>
    </w:p>
    <w:p>
      <w:pPr>
        <w:pStyle w:val="3"/>
        <w:jc w:val="center"/>
        <w:rPr>
          <w:rFonts w:hint="eastAsia"/>
          <w:lang w:val="en-US" w:eastAsia="zh-CN"/>
        </w:rPr>
      </w:pPr>
      <w:r>
        <w:rPr>
          <w:rFonts w:hint="eastAsia"/>
          <w:lang w:val="en-US" w:eastAsia="zh-CN"/>
        </w:rPr>
        <w:fldChar w:fldCharType="begin"/>
      </w:r>
      <w:r>
        <w:rPr>
          <w:rFonts w:hint="eastAsia"/>
          <w:lang w:val="en-US" w:eastAsia="zh-CN"/>
        </w:rPr>
        <w:instrText xml:space="preserve"> HYPERLINK " http://mingshan.gov.cn/uploads/2018yus/50.xls" \t "http://www.mingshan.gov.cn/a/zhongdianzhengfuxinxi/mingshanqugebumenyujuesuan/2018/0305/_blank" </w:instrText>
      </w:r>
      <w:r>
        <w:rPr>
          <w:rFonts w:hint="eastAsia"/>
          <w:lang w:val="en-US" w:eastAsia="zh-CN"/>
        </w:rPr>
        <w:fldChar w:fldCharType="separate"/>
      </w:r>
      <w:r>
        <w:rPr>
          <w:rFonts w:hint="eastAsia"/>
          <w:lang w:val="en-US" w:eastAsia="zh-CN"/>
        </w:rPr>
        <w:t>第二部分   本溪市明山区武装部2020年部门预算公开</w:t>
      </w:r>
      <w:r>
        <w:rPr>
          <w:rFonts w:hint="eastAsia"/>
          <w:lang w:val="en-US" w:eastAsia="zh-CN"/>
        </w:rPr>
        <w:fldChar w:fldCharType="end"/>
      </w:r>
      <w:r>
        <w:rPr>
          <w:rFonts w:hint="eastAsia"/>
          <w:lang w:val="en-US" w:eastAsia="zh-CN"/>
        </w:rPr>
        <w:t>(见附表）</w:t>
      </w:r>
    </w:p>
    <w:p>
      <w:pPr>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color w:val="256EB1"/>
          <w:kern w:val="0"/>
          <w:sz w:val="36"/>
          <w:szCs w:val="36"/>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color w:val="256EB1"/>
          <w:kern w:val="0"/>
          <w:sz w:val="36"/>
          <w:szCs w:val="36"/>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color w:val="256EB1"/>
          <w:kern w:val="0"/>
          <w:sz w:val="36"/>
          <w:szCs w:val="36"/>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color w:val="256EB1"/>
          <w:kern w:val="0"/>
          <w:sz w:val="36"/>
          <w:szCs w:val="36"/>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color w:val="256EB1"/>
          <w:kern w:val="0"/>
          <w:sz w:val="36"/>
          <w:szCs w:val="36"/>
          <w:u w:val="none"/>
          <w:lang w:val="en-US" w:eastAsia="zh-CN" w:bidi="ar"/>
        </w:rPr>
      </w:pPr>
    </w:p>
    <w:p>
      <w:pPr>
        <w:pStyle w:val="3"/>
        <w:jc w:val="center"/>
        <w:rPr>
          <w:rFonts w:hint="eastAsia"/>
        </w:rPr>
      </w:pPr>
      <w:r>
        <w:rPr>
          <w:rFonts w:hint="eastAsia"/>
          <w:lang w:val="en-US" w:eastAsia="zh-CN"/>
        </w:rPr>
        <w:t>第三部分 本溪市明山区武装部2020年部门预算情况说明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sz w:val="32"/>
          <w:szCs w:val="32"/>
        </w:rPr>
      </w:pPr>
      <w:r>
        <w:rPr>
          <w:rFonts w:hint="eastAsia" w:ascii="黑体" w:hAnsi="黑体" w:eastAsia="黑体" w:cs="黑体"/>
          <w:kern w:val="0"/>
          <w:sz w:val="32"/>
          <w:szCs w:val="32"/>
          <w:lang w:val="en-US" w:eastAsia="zh-CN" w:bidi="ar"/>
        </w:rPr>
        <w:t>一、2020年收支预算情况的总体说明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   按照综合预算的原则，本溪市明山区武装部所有收入和支出均纳入部门预算管理。收入包括：一般公共预算财政拨款收入，支出包括：一般公共服务支出、国防支出。本溪市明山区武装部2020年部门预算共安排84.6万元。</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sz w:val="30"/>
          <w:szCs w:val="30"/>
        </w:rPr>
      </w:pPr>
      <w:r>
        <w:rPr>
          <w:rFonts w:hint="eastAsia" w:ascii="黑体" w:hAnsi="黑体" w:eastAsia="黑体" w:cs="黑体"/>
          <w:kern w:val="0"/>
          <w:sz w:val="30"/>
          <w:szCs w:val="30"/>
          <w:lang w:val="en-US" w:eastAsia="zh-CN" w:bidi="ar"/>
        </w:rPr>
        <w:t>二、2020年一般公共预算当年财政拨款情况说明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   本溪市明山区武装部2020年财政拨款预算数84.6万元，其中一般公共服务支出40.8万元，国防支出43.8万元。</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sz w:val="32"/>
          <w:szCs w:val="32"/>
        </w:rPr>
      </w:pPr>
      <w:r>
        <w:rPr>
          <w:rFonts w:hint="eastAsia" w:ascii="黑体" w:hAnsi="黑体" w:eastAsia="黑体" w:cs="黑体"/>
          <w:kern w:val="0"/>
          <w:sz w:val="32"/>
          <w:szCs w:val="32"/>
          <w:lang w:val="en-US" w:eastAsia="zh-CN" w:bidi="ar"/>
        </w:rPr>
        <w:t>三、2020年一般公共预算基本支出情况说明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   本溪市明山区武装部2020年一般公共预算基本支出预算数40.8万元，其中：人员经费40.8万元。其中：人员经费预算数为40.8万元。主要包括：基本工资、津贴补贴、奖金、社会保障缴费、其他工资福利支出、退休费、生活补助、医疗费、住房公积金、其他对个人和家庭补助支出。</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sz w:val="32"/>
          <w:szCs w:val="32"/>
        </w:rPr>
      </w:pPr>
      <w:r>
        <w:rPr>
          <w:rFonts w:hint="eastAsia" w:ascii="黑体" w:hAnsi="黑体" w:eastAsia="黑体" w:cs="黑体"/>
          <w:kern w:val="0"/>
          <w:sz w:val="32"/>
          <w:szCs w:val="32"/>
          <w:lang w:val="en-US" w:eastAsia="zh-CN" w:bidi="ar"/>
        </w:rPr>
        <w:t>四、关于2020年“三公”经费预算情况说明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   本溪市明山区武装部2018年“三公”经费预算数0 万元。 </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sz w:val="32"/>
          <w:szCs w:val="32"/>
        </w:rPr>
      </w:pPr>
      <w:r>
        <w:rPr>
          <w:rFonts w:hint="eastAsia" w:ascii="黑体" w:hAnsi="黑体" w:eastAsia="黑体" w:cs="黑体"/>
          <w:kern w:val="0"/>
          <w:sz w:val="32"/>
          <w:szCs w:val="32"/>
          <w:lang w:val="en-US" w:eastAsia="zh-CN" w:bidi="ar"/>
        </w:rPr>
        <w:t>五、关于政府性基金预算支出情况的说明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   本溪市明山区武装部没有使用政府性基金预算拨款安排的基本支出和项目支出预算，故本表无数据。</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sz w:val="32"/>
          <w:szCs w:val="32"/>
        </w:rPr>
      </w:pPr>
      <w:r>
        <w:rPr>
          <w:rFonts w:hint="eastAsia" w:ascii="黑体" w:hAnsi="黑体" w:eastAsia="黑体" w:cs="黑体"/>
          <w:kern w:val="0"/>
          <w:sz w:val="32"/>
          <w:szCs w:val="32"/>
          <w:lang w:val="en-US" w:eastAsia="zh-CN" w:bidi="ar"/>
        </w:rPr>
        <w:t>六、关于2020年部门收支总体情况的说明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 xml:space="preserve">   按照综合预算的原则，本溪市明山区武装部所有收入和支出均纳入部门预算管理。收入包括：一般公共预算财政拨款收入，支出包括：一般公共服务支出、国防支出。明山区武装部2020年收支总预算84.6万元。</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ascii="黑体" w:hAnsi="黑体" w:eastAsia="黑体" w:cs="黑体"/>
          <w:kern w:val="0"/>
          <w:sz w:val="32"/>
          <w:szCs w:val="32"/>
          <w:lang w:val="en-US" w:eastAsia="zh-CN" w:bidi="ar"/>
        </w:rPr>
      </w:pPr>
      <w:r>
        <w:rPr>
          <w:rFonts w:hint="default" w:ascii="黑体" w:hAnsi="黑体" w:eastAsia="黑体" w:cs="黑体"/>
          <w:kern w:val="0"/>
          <w:sz w:val="32"/>
          <w:szCs w:val="32"/>
          <w:lang w:val="en-US" w:eastAsia="zh-CN" w:bidi="ar"/>
        </w:rPr>
        <w:t>七、关于20</w:t>
      </w:r>
      <w:r>
        <w:rPr>
          <w:rFonts w:hint="eastAsia" w:ascii="黑体" w:hAnsi="黑体" w:eastAsia="黑体" w:cs="黑体"/>
          <w:kern w:val="0"/>
          <w:sz w:val="32"/>
          <w:szCs w:val="32"/>
          <w:lang w:val="en-US" w:eastAsia="zh-CN" w:bidi="ar"/>
        </w:rPr>
        <w:t>20</w:t>
      </w:r>
      <w:r>
        <w:rPr>
          <w:rFonts w:hint="default" w:ascii="黑体" w:hAnsi="黑体" w:eastAsia="黑体" w:cs="黑体"/>
          <w:kern w:val="0"/>
          <w:sz w:val="32"/>
          <w:szCs w:val="32"/>
          <w:lang w:val="en-US" w:eastAsia="zh-CN" w:bidi="ar"/>
        </w:rPr>
        <w:t>年部门收入总体情况的说明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 xml:space="preserve">   </w:t>
      </w:r>
      <w:r>
        <w:rPr>
          <w:rFonts w:hint="default" w:ascii="仿宋_GB2312" w:hAnsi="仿宋_GB2312" w:eastAsia="仿宋_GB2312" w:cs="仿宋_GB2312"/>
          <w:kern w:val="0"/>
          <w:sz w:val="30"/>
          <w:szCs w:val="30"/>
          <w:lang w:val="en-US" w:eastAsia="zh-CN" w:bidi="ar"/>
        </w:rPr>
        <w:t>本</w:t>
      </w:r>
      <w:r>
        <w:rPr>
          <w:rFonts w:hint="eastAsia" w:ascii="仿宋_GB2312" w:hAnsi="仿宋_GB2312" w:eastAsia="仿宋_GB2312" w:cs="仿宋_GB2312"/>
          <w:kern w:val="0"/>
          <w:sz w:val="30"/>
          <w:szCs w:val="30"/>
          <w:lang w:val="en-US" w:eastAsia="zh-CN" w:bidi="ar"/>
        </w:rPr>
        <w:t>溪</w:t>
      </w:r>
      <w:r>
        <w:rPr>
          <w:rFonts w:hint="default" w:ascii="仿宋_GB2312" w:hAnsi="仿宋_GB2312" w:eastAsia="仿宋_GB2312" w:cs="仿宋_GB2312"/>
          <w:kern w:val="0"/>
          <w:sz w:val="30"/>
          <w:szCs w:val="30"/>
          <w:lang w:val="en-US" w:eastAsia="zh-CN" w:bidi="ar"/>
        </w:rPr>
        <w:t>市明山区武装部20</w:t>
      </w:r>
      <w:r>
        <w:rPr>
          <w:rFonts w:hint="eastAsia" w:ascii="仿宋_GB2312" w:hAnsi="仿宋_GB2312" w:eastAsia="仿宋_GB2312" w:cs="仿宋_GB2312"/>
          <w:kern w:val="0"/>
          <w:sz w:val="30"/>
          <w:szCs w:val="30"/>
          <w:lang w:val="en-US" w:eastAsia="zh-CN" w:bidi="ar"/>
        </w:rPr>
        <w:t>20</w:t>
      </w:r>
      <w:r>
        <w:rPr>
          <w:rFonts w:hint="default" w:ascii="仿宋_GB2312" w:hAnsi="仿宋_GB2312" w:eastAsia="仿宋_GB2312" w:cs="仿宋_GB2312"/>
          <w:kern w:val="0"/>
          <w:sz w:val="30"/>
          <w:szCs w:val="30"/>
          <w:lang w:val="en-US" w:eastAsia="zh-CN" w:bidi="ar"/>
        </w:rPr>
        <w:t>年收入总预算数</w:t>
      </w:r>
      <w:r>
        <w:rPr>
          <w:rFonts w:hint="eastAsia" w:ascii="仿宋_GB2312" w:hAnsi="仿宋_GB2312" w:eastAsia="仿宋_GB2312" w:cs="仿宋_GB2312"/>
          <w:kern w:val="0"/>
          <w:sz w:val="30"/>
          <w:szCs w:val="30"/>
          <w:lang w:val="en-US" w:eastAsia="zh-CN" w:bidi="ar"/>
        </w:rPr>
        <w:t>84.6</w:t>
      </w:r>
      <w:r>
        <w:rPr>
          <w:rFonts w:hint="default" w:ascii="仿宋_GB2312" w:hAnsi="仿宋_GB2312" w:eastAsia="仿宋_GB2312" w:cs="仿宋_GB2312"/>
          <w:kern w:val="0"/>
          <w:sz w:val="30"/>
          <w:szCs w:val="30"/>
          <w:lang w:val="en-US" w:eastAsia="zh-CN" w:bidi="ar"/>
        </w:rPr>
        <w:t>万元，其中：一般公共预算财政拨款收入</w:t>
      </w:r>
      <w:r>
        <w:rPr>
          <w:rFonts w:hint="eastAsia" w:ascii="仿宋_GB2312" w:hAnsi="仿宋_GB2312" w:eastAsia="仿宋_GB2312" w:cs="仿宋_GB2312"/>
          <w:kern w:val="0"/>
          <w:sz w:val="30"/>
          <w:szCs w:val="30"/>
          <w:lang w:val="en-US" w:eastAsia="zh-CN" w:bidi="ar"/>
        </w:rPr>
        <w:t>84.6</w:t>
      </w:r>
      <w:r>
        <w:rPr>
          <w:rFonts w:hint="default" w:ascii="仿宋_GB2312" w:hAnsi="仿宋_GB2312" w:eastAsia="仿宋_GB2312" w:cs="仿宋_GB2312"/>
          <w:kern w:val="0"/>
          <w:sz w:val="30"/>
          <w:szCs w:val="30"/>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sz w:val="32"/>
          <w:szCs w:val="32"/>
        </w:rPr>
      </w:pPr>
      <w:r>
        <w:rPr>
          <w:rFonts w:hint="eastAsia" w:ascii="黑体" w:hAnsi="黑体" w:eastAsia="黑体" w:cs="黑体"/>
          <w:kern w:val="0"/>
          <w:sz w:val="32"/>
          <w:szCs w:val="32"/>
          <w:lang w:val="en-US" w:eastAsia="zh-CN" w:bidi="ar"/>
        </w:rPr>
        <w:t>八、关于2020年部门支出总体情况的说明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 xml:space="preserve">   本溪市明山区武装部2020年支出总预算数84.6万元，其中：基本支出40.8万元，项目支出43.8万元。</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sz w:val="30"/>
          <w:szCs w:val="30"/>
        </w:rPr>
      </w:pPr>
      <w:r>
        <w:rPr>
          <w:rFonts w:hint="eastAsia" w:ascii="黑体" w:hAnsi="黑体" w:eastAsia="黑体" w:cs="黑体"/>
          <w:kern w:val="0"/>
          <w:sz w:val="30"/>
          <w:szCs w:val="30"/>
          <w:lang w:val="en-US" w:eastAsia="zh-CN" w:bidi="ar"/>
        </w:rPr>
        <w:t>九、关于本溪市明山区武装部2020年政府采购预算安排情况的说明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 xml:space="preserve">   2020年本溪市明山区武装部没有政府采购预算安排，故本表无数据。</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kern w:val="0"/>
          <w:sz w:val="30"/>
          <w:szCs w:val="30"/>
          <w:lang w:val="en-US" w:eastAsia="zh-CN" w:bidi="ar"/>
        </w:rPr>
      </w:pPr>
      <w:r>
        <w:rPr>
          <w:rFonts w:hint="eastAsia" w:ascii="黑体" w:hAnsi="黑体" w:eastAsia="黑体" w:cs="黑体"/>
          <w:kern w:val="0"/>
          <w:sz w:val="30"/>
          <w:szCs w:val="30"/>
          <w:lang w:val="en-US" w:eastAsia="zh-CN" w:bidi="ar"/>
        </w:rPr>
        <w:t>十、其他重点工作情况说明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b/>
          <w:bCs/>
          <w:kern w:val="0"/>
          <w:sz w:val="30"/>
          <w:szCs w:val="30"/>
          <w:lang w:val="en-US" w:eastAsia="zh-CN" w:bidi="ar"/>
        </w:rPr>
      </w:pPr>
      <w:r>
        <w:rPr>
          <w:rFonts w:hint="eastAsia" w:ascii="仿宋_GB2312" w:hAnsi="仿宋_GB2312" w:eastAsia="仿宋_GB2312" w:cs="仿宋_GB2312"/>
          <w:kern w:val="0"/>
          <w:sz w:val="30"/>
          <w:szCs w:val="30"/>
          <w:lang w:val="en-US" w:eastAsia="zh-CN" w:bidi="ar"/>
        </w:rPr>
        <w:t xml:space="preserve"> </w:t>
      </w:r>
      <w:r>
        <w:rPr>
          <w:rFonts w:hint="eastAsia" w:ascii="仿宋_GB2312" w:hAnsi="仿宋_GB2312" w:eastAsia="仿宋_GB2312" w:cs="仿宋_GB2312"/>
          <w:b/>
          <w:bCs/>
          <w:kern w:val="0"/>
          <w:sz w:val="30"/>
          <w:szCs w:val="30"/>
          <w:lang w:val="en-US" w:eastAsia="zh-CN" w:bidi="ar"/>
        </w:rPr>
        <w:t>（一）国有资产占用情况</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 xml:space="preserve">    明山区人民武装部无国有资产</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ascii="仿宋_GB2312" w:hAnsi="仿宋_GB2312" w:eastAsia="仿宋_GB2312" w:cs="仿宋_GB2312"/>
          <w:b/>
          <w:bCs/>
          <w:kern w:val="0"/>
          <w:sz w:val="30"/>
          <w:szCs w:val="30"/>
          <w:lang w:val="en-US" w:eastAsia="zh-CN" w:bidi="ar"/>
        </w:rPr>
      </w:pPr>
      <w:r>
        <w:rPr>
          <w:rFonts w:hint="eastAsia" w:ascii="仿宋_GB2312" w:hAnsi="仿宋_GB2312" w:eastAsia="仿宋_GB2312" w:cs="仿宋_GB2312"/>
          <w:kern w:val="0"/>
          <w:sz w:val="30"/>
          <w:szCs w:val="30"/>
          <w:lang w:val="en-US" w:eastAsia="zh-CN" w:bidi="ar"/>
        </w:rPr>
        <w:t xml:space="preserve"> </w:t>
      </w:r>
      <w:r>
        <w:rPr>
          <w:rFonts w:hint="eastAsia" w:ascii="仿宋_GB2312" w:hAnsi="仿宋_GB2312" w:eastAsia="仿宋_GB2312" w:cs="仿宋_GB2312"/>
          <w:b/>
          <w:bCs/>
          <w:kern w:val="0"/>
          <w:sz w:val="30"/>
          <w:szCs w:val="30"/>
          <w:lang w:val="en-US" w:eastAsia="zh-CN" w:bidi="ar"/>
        </w:rPr>
        <w:t>（二）预算绩效管理工作开展情况</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 xml:space="preserve">   明山区人民武装部无绩效考核项目</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Arial" w:hAnsi="Arial" w:eastAsia="黑体" w:cstheme="minorBidi"/>
          <w:b/>
          <w:kern w:val="2"/>
          <w:sz w:val="32"/>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Arial" w:hAnsi="Arial" w:eastAsia="黑体" w:cstheme="minorBidi"/>
          <w:b/>
          <w:kern w:val="2"/>
          <w:sz w:val="32"/>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Arial" w:hAnsi="Arial" w:eastAsia="黑体" w:cstheme="minorBidi"/>
          <w:b/>
          <w:kern w:val="2"/>
          <w:sz w:val="32"/>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Arial" w:hAnsi="Arial" w:eastAsia="黑体" w:cstheme="minorBidi"/>
          <w:b/>
          <w:kern w:val="2"/>
          <w:sz w:val="32"/>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Arial" w:hAnsi="Arial" w:eastAsia="黑体" w:cstheme="minorBidi"/>
          <w:b/>
          <w:kern w:val="2"/>
          <w:sz w:val="32"/>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Arial" w:hAnsi="Arial" w:eastAsia="黑体" w:cstheme="minorBidi"/>
          <w:b/>
          <w:kern w:val="2"/>
          <w:sz w:val="32"/>
          <w:szCs w:val="24"/>
          <w:lang w:val="en-US" w:eastAsia="zh-CN" w:bidi="ar-SA"/>
        </w:rPr>
      </w:pPr>
      <w:r>
        <w:rPr>
          <w:rFonts w:hint="default" w:ascii="Arial" w:hAnsi="Arial" w:eastAsia="黑体" w:cstheme="minorBidi"/>
          <w:b/>
          <w:kern w:val="2"/>
          <w:sz w:val="32"/>
          <w:szCs w:val="24"/>
          <w:lang w:val="en-US" w:eastAsia="zh-CN" w:bidi="ar-SA"/>
        </w:rPr>
        <w:t>第四部分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Arial" w:hAnsi="Arial" w:eastAsia="黑体" w:cstheme="minorBidi"/>
          <w:b/>
          <w:kern w:val="2"/>
          <w:sz w:val="32"/>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Arial" w:hAnsi="Arial" w:eastAsia="黑体" w:cstheme="minorBidi"/>
          <w:b/>
          <w:kern w:val="2"/>
          <w:sz w:val="32"/>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1.财政拨款收入：</w:t>
      </w:r>
      <w:r>
        <w:rPr>
          <w:rFonts w:hint="eastAsia" w:ascii="仿宋_GB2312" w:hAnsi="仿宋_GB2312" w:eastAsia="仿宋_GB2312" w:cs="仿宋_GB2312"/>
          <w:kern w:val="0"/>
          <w:sz w:val="32"/>
          <w:szCs w:val="32"/>
          <w:lang w:val="en-US" w:eastAsia="zh-CN" w:bidi="ar"/>
        </w:rPr>
        <w:t>指区级财政当年拨付的资金。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2.行政事业性收费收入：</w:t>
      </w:r>
      <w:r>
        <w:rPr>
          <w:rFonts w:hint="eastAsia" w:ascii="仿宋_GB2312" w:hAnsi="仿宋_GB2312" w:eastAsia="仿宋_GB2312" w:cs="仿宋_GB2312"/>
          <w:kern w:val="0"/>
          <w:sz w:val="32"/>
          <w:szCs w:val="32"/>
          <w:lang w:val="en-US" w:eastAsia="zh-CN" w:bidi="ar"/>
        </w:rPr>
        <w:t>指依据法律、行政法规、国务院有关规定、国务院财政部门会同价格主管部门共同发布的规章或者规定，省、自治区、直辖市人民政府财政部门会同价格主管部门共同发布的规定所收取的各项收费收入。</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3.政府性基金收入：</w:t>
      </w:r>
      <w:r>
        <w:rPr>
          <w:rFonts w:hint="eastAsia" w:ascii="仿宋_GB2312" w:hAnsi="仿宋_GB2312" w:eastAsia="仿宋_GB2312" w:cs="仿宋_GB2312"/>
          <w:kern w:val="0"/>
          <w:sz w:val="32"/>
          <w:szCs w:val="32"/>
          <w:lang w:val="en-US" w:eastAsia="zh-CN" w:bidi="ar"/>
        </w:rPr>
        <w:t>反应各级政府及其所属部门根据法律、行政法规规定并经国务院或财政部批准，向公民、法人和其他组织征收的政府性基金，以及参照政府性基金管理或纳入基金预算、具有特定用途的财政资金。</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4.其他收入：</w:t>
      </w:r>
      <w:r>
        <w:rPr>
          <w:rFonts w:hint="eastAsia" w:ascii="仿宋_GB2312" w:hAnsi="仿宋_GB2312" w:eastAsia="仿宋_GB2312" w:cs="仿宋_GB2312"/>
          <w:kern w:val="0"/>
          <w:sz w:val="32"/>
          <w:szCs w:val="32"/>
          <w:lang w:val="en-US" w:eastAsia="zh-CN" w:bidi="ar"/>
        </w:rPr>
        <w:t>指除上述“财政拨款收入”、“行政事业性收费收入”、“政府性基金收入”以外的收入。</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5.基本支出：</w:t>
      </w:r>
      <w:r>
        <w:rPr>
          <w:rFonts w:hint="eastAsia" w:ascii="仿宋_GB2312" w:hAnsi="仿宋_GB2312" w:eastAsia="仿宋_GB2312" w:cs="仿宋_GB2312"/>
          <w:kern w:val="0"/>
          <w:sz w:val="32"/>
          <w:szCs w:val="32"/>
          <w:lang w:val="en-US" w:eastAsia="zh-CN" w:bidi="ar"/>
        </w:rPr>
        <w:t>指保障机构正常运转、完成日常工作任务而发生的人员支出和公用支出。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6.项目支出：</w:t>
      </w:r>
      <w:r>
        <w:rPr>
          <w:rFonts w:hint="eastAsia" w:ascii="仿宋_GB2312" w:hAnsi="仿宋_GB2312" w:eastAsia="仿宋_GB2312" w:cs="仿宋_GB2312"/>
          <w:kern w:val="0"/>
          <w:sz w:val="32"/>
          <w:szCs w:val="32"/>
          <w:lang w:val="en-US" w:eastAsia="zh-CN" w:bidi="ar"/>
        </w:rPr>
        <w:t>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7.“三公”经费：</w:t>
      </w:r>
      <w:r>
        <w:rPr>
          <w:rFonts w:hint="eastAsia" w:ascii="仿宋_GB2312" w:hAnsi="仿宋_GB2312" w:eastAsia="仿宋_GB2312" w:cs="仿宋_GB2312"/>
          <w:kern w:val="0"/>
          <w:sz w:val="32"/>
          <w:szCs w:val="32"/>
          <w:lang w:val="en-US" w:eastAsia="zh-CN" w:bidi="ar"/>
        </w:rPr>
        <w:t>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8.一般公共服务（类）政府办公厅（室）及相关机构事务（款）行政运行（项）：</w:t>
      </w:r>
      <w:r>
        <w:rPr>
          <w:rFonts w:hint="eastAsia" w:ascii="仿宋_GB2312" w:hAnsi="仿宋_GB2312" w:eastAsia="仿宋_GB2312" w:cs="仿宋_GB2312"/>
          <w:kern w:val="0"/>
          <w:sz w:val="32"/>
          <w:szCs w:val="32"/>
          <w:lang w:val="en-US" w:eastAsia="zh-CN" w:bidi="ar"/>
        </w:rPr>
        <w:t>反映行政单位（包括实行公务员管理的事业单位）的基本支出。</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9.国防支出（类）国防动员（款）兵役征集（项）：</w:t>
      </w:r>
      <w:r>
        <w:rPr>
          <w:rFonts w:hint="eastAsia" w:ascii="仿宋_GB2312" w:hAnsi="仿宋_GB2312" w:eastAsia="仿宋_GB2312" w:cs="仿宋_GB2312"/>
          <w:kern w:val="0"/>
          <w:sz w:val="32"/>
          <w:szCs w:val="32"/>
          <w:lang w:val="en-US" w:eastAsia="zh-CN" w:bidi="ar"/>
        </w:rPr>
        <w:t>反映用于兵役征集等方面的支出。</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10.国防支出（类）国防动员（款）其他国防动员支出（项）：</w:t>
      </w:r>
      <w:r>
        <w:rPr>
          <w:rFonts w:hint="eastAsia" w:ascii="仿宋_GB2312" w:hAnsi="仿宋_GB2312" w:eastAsia="仿宋_GB2312" w:cs="仿宋_GB2312"/>
          <w:kern w:val="0"/>
          <w:sz w:val="32"/>
          <w:szCs w:val="32"/>
          <w:lang w:val="en-US" w:eastAsia="zh-CN" w:bidi="ar"/>
        </w:rPr>
        <w:t>反映用于民兵建设与管理等方面的支出。</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11.国防支出（类）国防动员（款）民兵（项）：</w:t>
      </w:r>
      <w:r>
        <w:rPr>
          <w:rFonts w:hint="eastAsia" w:ascii="仿宋_GB2312" w:hAnsi="仿宋_GB2312" w:eastAsia="仿宋_GB2312" w:cs="仿宋_GB2312"/>
          <w:kern w:val="0"/>
          <w:sz w:val="32"/>
          <w:szCs w:val="32"/>
          <w:lang w:val="en-US" w:eastAsia="zh-CN" w:bidi="ar"/>
        </w:rPr>
        <w:t>反映除上述项目以外其他用于国防动员方面的支出。</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decorative"/>
    <w:pitch w:val="default"/>
    <w:sig w:usb0="800002BF" w:usb1="38CF7CFA" w:usb2="00000016" w:usb3="00000000" w:csb0="00040001" w:csb1="00000000"/>
  </w:font>
  <w:font w:name="Verdana">
    <w:altName w:val="Ubuntu"/>
    <w:panose1 w:val="020B0604030504040204"/>
    <w:charset w:val="00"/>
    <w:family w:val="auto"/>
    <w:pitch w:val="default"/>
    <w:sig w:usb0="00000000" w:usb1="00000000" w:usb2="00000000" w:usb3="00000000" w:csb0="2000019F" w:csb1="00000000"/>
  </w:font>
  <w:font w:name="仿宋_GB2312">
    <w:panose1 w:val="02010609030101010101"/>
    <w:charset w:val="86"/>
    <w:family w:val="decorative"/>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96E15"/>
    <w:rsid w:val="2A122154"/>
    <w:rsid w:val="2D496E15"/>
    <w:rsid w:val="30A63144"/>
    <w:rsid w:val="40CC298B"/>
    <w:rsid w:val="51555463"/>
    <w:rsid w:val="77C651CE"/>
    <w:rsid w:val="77EC03AD"/>
    <w:rsid w:val="F8FF0D26"/>
    <w:rsid w:val="FB7F83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FollowedHyperlink"/>
    <w:basedOn w:val="5"/>
    <w:qFormat/>
    <w:uiPriority w:val="0"/>
    <w:rPr>
      <w:color w:val="256EB1"/>
      <w:u w:val="none"/>
    </w:rPr>
  </w:style>
  <w:style w:type="character" w:styleId="7">
    <w:name w:val="Hyperlink"/>
    <w:basedOn w:val="5"/>
    <w:qFormat/>
    <w:uiPriority w:val="0"/>
    <w:rPr>
      <w:color w:val="256EB1"/>
      <w:u w:val="none"/>
    </w:rPr>
  </w:style>
  <w:style w:type="character" w:customStyle="1" w:styleId="8">
    <w:name w:val="info"/>
    <w:basedOn w:val="5"/>
    <w:qFormat/>
    <w:uiPriority w:val="0"/>
    <w:rPr>
      <w:color w:val="55555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2019-02-27T11:04:00Z</dcterms:created>
  <dc:creator>lenovo</dc:creator>
  <cp:lastModifiedBy>user</cp:lastModifiedBy>
  <dcterms:modified xsi:type="dcterms:W3CDTF">2024-05-23T15:33:52Z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