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widowControl w:val="0"/>
        <w:autoSpaceDE w:val="0"/>
        <w:autoSpaceDN w:val="0"/>
        <w:spacing w:beforeLines="0" w:afterLines="0" w:line="540" w:lineRule="exact"/>
        <w:rPr>
          <w:rFonts w:hint="default"/>
          <w:b/>
          <w:sz w:val="44"/>
        </w:rPr>
      </w:pPr>
      <w:bookmarkStart w:id="0" w:name="_GoBack"/>
      <w:bookmarkEnd w:id="0"/>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ind w:firstLine="522" w:firstLineChars="100"/>
        <w:rPr>
          <w:rFonts w:hint="default" w:eastAsia="Times New Roman"/>
          <w:b/>
          <w:sz w:val="52"/>
        </w:rPr>
      </w:pPr>
      <w:r>
        <w:rPr>
          <w:rFonts w:hint="eastAsia" w:ascii="宋体" w:hAnsi="宋体"/>
          <w:b/>
          <w:sz w:val="52"/>
        </w:rPr>
        <w:t>明山区城建局2018年度部门决算</w:t>
      </w: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rPr>
      </w:pPr>
    </w:p>
    <w:p>
      <w:pPr>
        <w:widowControl w:val="0"/>
        <w:autoSpaceDE w:val="0"/>
        <w:autoSpaceDN w:val="0"/>
        <w:spacing w:beforeLines="0" w:afterLines="0" w:line="540" w:lineRule="exact"/>
        <w:jc w:val="center"/>
        <w:rPr>
          <w:rFonts w:hint="default" w:eastAsia="Times New Roman"/>
          <w:b/>
          <w:sz w:val="44"/>
        </w:rPr>
      </w:pPr>
    </w:p>
    <w:p>
      <w:pPr>
        <w:widowControl w:val="0"/>
        <w:autoSpaceDE w:val="0"/>
        <w:autoSpaceDN w:val="0"/>
        <w:spacing w:beforeLines="0" w:afterLines="0" w:line="540" w:lineRule="exact"/>
        <w:jc w:val="center"/>
        <w:rPr>
          <w:rFonts w:hint="default" w:eastAsia="Times New Roman"/>
          <w:b/>
          <w:sz w:val="44"/>
        </w:rPr>
      </w:pPr>
    </w:p>
    <w:p>
      <w:pPr>
        <w:widowControl w:val="0"/>
        <w:autoSpaceDE w:val="0"/>
        <w:autoSpaceDN w:val="0"/>
        <w:spacing w:beforeLines="0" w:afterLines="0" w:line="540" w:lineRule="exact"/>
        <w:jc w:val="center"/>
        <w:rPr>
          <w:rFonts w:hint="default"/>
          <w:b/>
          <w:sz w:val="44"/>
        </w:rPr>
      </w:pPr>
    </w:p>
    <w:p>
      <w:pPr>
        <w:widowControl w:val="0"/>
        <w:autoSpaceDE w:val="0"/>
        <w:autoSpaceDN w:val="0"/>
        <w:spacing w:beforeLines="0" w:afterLines="0" w:line="540" w:lineRule="exact"/>
        <w:jc w:val="center"/>
        <w:rPr>
          <w:rFonts w:hint="default"/>
          <w:b/>
          <w:sz w:val="44"/>
        </w:rPr>
      </w:pPr>
    </w:p>
    <w:p>
      <w:pPr>
        <w:widowControl w:val="0"/>
        <w:autoSpaceDE w:val="0"/>
        <w:autoSpaceDN w:val="0"/>
        <w:spacing w:beforeLines="0" w:afterLines="0" w:line="540" w:lineRule="exact"/>
        <w:jc w:val="center"/>
        <w:rPr>
          <w:rFonts w:hint="default" w:ascii="宋体"/>
          <w:b/>
          <w:sz w:val="44"/>
        </w:rPr>
      </w:pPr>
    </w:p>
    <w:p>
      <w:pPr>
        <w:widowControl w:val="0"/>
        <w:autoSpaceDE w:val="0"/>
        <w:autoSpaceDN w:val="0"/>
        <w:spacing w:beforeLines="0" w:afterLines="0" w:line="540" w:lineRule="exact"/>
        <w:jc w:val="center"/>
        <w:rPr>
          <w:rFonts w:hint="default" w:eastAsia="Times New Roman"/>
          <w:b/>
          <w:sz w:val="44"/>
        </w:rPr>
      </w:pPr>
      <w:r>
        <w:rPr>
          <w:rFonts w:hint="eastAsia" w:ascii="宋体" w:hAnsi="宋体"/>
          <w:b/>
          <w:sz w:val="44"/>
        </w:rPr>
        <w:t>目    录</w:t>
      </w:r>
    </w:p>
    <w:p>
      <w:pPr>
        <w:widowControl w:val="0"/>
        <w:autoSpaceDE w:val="0"/>
        <w:autoSpaceDN w:val="0"/>
        <w:spacing w:beforeLines="0" w:afterLines="0" w:line="540" w:lineRule="exact"/>
        <w:rPr>
          <w:rFonts w:hint="default" w:eastAsia="Times New Roman"/>
          <w:b/>
          <w:sz w:val="44"/>
          <w:u w:val="single"/>
        </w:rPr>
      </w:pPr>
    </w:p>
    <w:p>
      <w:pPr>
        <w:widowControl w:val="0"/>
        <w:autoSpaceDE w:val="0"/>
        <w:autoSpaceDN w:val="0"/>
        <w:spacing w:beforeLines="0" w:afterLines="0" w:line="540" w:lineRule="exact"/>
        <w:rPr>
          <w:rFonts w:hint="default" w:eastAsia="Times New Roman"/>
          <w:b/>
          <w:sz w:val="44"/>
          <w:u w:val="single"/>
        </w:rPr>
      </w:pPr>
    </w:p>
    <w:p>
      <w:pPr>
        <w:widowControl w:val="0"/>
        <w:autoSpaceDE w:val="0"/>
        <w:autoSpaceDN w:val="0"/>
        <w:spacing w:beforeLines="0" w:afterLines="0" w:line="540" w:lineRule="exact"/>
        <w:rPr>
          <w:rFonts w:hint="default" w:eastAsia="Times New Roman"/>
          <w:sz w:val="32"/>
        </w:rPr>
      </w:pPr>
      <w:r>
        <w:rPr>
          <w:rFonts w:hint="eastAsia" w:ascii="黑体" w:hAnsi="黑体" w:eastAsia="黑体"/>
          <w:sz w:val="32"/>
        </w:rPr>
        <w:t>第一部分    明山区城建局概况</w:t>
      </w:r>
    </w:p>
    <w:p>
      <w:pPr>
        <w:widowControl w:val="0"/>
        <w:autoSpaceDE w:val="0"/>
        <w:autoSpaceDN w:val="0"/>
        <w:spacing w:beforeLines="0" w:afterLines="0" w:line="540" w:lineRule="exact"/>
        <w:ind w:left="720" w:hanging="720"/>
        <w:rPr>
          <w:rFonts w:hint="default" w:eastAsia="Times New Roman"/>
          <w:sz w:val="32"/>
        </w:rPr>
      </w:pPr>
      <w:r>
        <w:rPr>
          <w:rFonts w:hint="eastAsia" w:ascii="宋体" w:hAnsi="宋体"/>
          <w:sz w:val="21"/>
        </w:rPr>
        <w:t>一、</w:t>
      </w:r>
      <w:r>
        <w:rPr>
          <w:rFonts w:hint="default" w:eastAsia="Times New Roman"/>
          <w:sz w:val="21"/>
        </w:rPr>
        <w:tab/>
      </w:r>
      <w:r>
        <w:rPr>
          <w:rFonts w:hint="eastAsia" w:ascii="仿宋_GB2312" w:hAnsi="仿宋_GB2312" w:eastAsia="仿宋_GB2312"/>
          <w:sz w:val="32"/>
        </w:rPr>
        <w:t>主要职责</w:t>
      </w:r>
    </w:p>
    <w:p>
      <w:pPr>
        <w:widowControl w:val="0"/>
        <w:autoSpaceDE w:val="0"/>
        <w:autoSpaceDN w:val="0"/>
        <w:spacing w:beforeLines="0" w:afterLines="0" w:line="540" w:lineRule="exact"/>
        <w:ind w:left="720" w:hanging="720"/>
        <w:rPr>
          <w:rFonts w:hint="default" w:eastAsia="Times New Roman"/>
          <w:sz w:val="32"/>
        </w:rPr>
      </w:pPr>
      <w:r>
        <w:rPr>
          <w:rFonts w:hint="eastAsia" w:ascii="宋体" w:hAnsi="宋体"/>
          <w:sz w:val="21"/>
        </w:rPr>
        <w:t>二、</w:t>
      </w:r>
      <w:r>
        <w:rPr>
          <w:rFonts w:hint="default" w:eastAsia="Times New Roman"/>
          <w:sz w:val="21"/>
        </w:rPr>
        <w:tab/>
      </w:r>
      <w:r>
        <w:rPr>
          <w:rFonts w:hint="eastAsia" w:ascii="仿宋_GB2312" w:hAnsi="仿宋_GB2312" w:eastAsia="仿宋_GB2312"/>
          <w:sz w:val="32"/>
        </w:rPr>
        <w:t>部门决算单位构成</w:t>
      </w:r>
    </w:p>
    <w:p>
      <w:pPr>
        <w:widowControl w:val="0"/>
        <w:autoSpaceDE w:val="0"/>
        <w:autoSpaceDN w:val="0"/>
        <w:spacing w:beforeLines="0" w:afterLines="0" w:line="540" w:lineRule="exact"/>
        <w:rPr>
          <w:rFonts w:hint="default" w:eastAsia="Times New Roman"/>
          <w:sz w:val="32"/>
        </w:rPr>
      </w:pPr>
      <w:r>
        <w:rPr>
          <w:rFonts w:hint="eastAsia" w:ascii="黑体" w:hAnsi="黑体" w:eastAsia="黑体"/>
          <w:sz w:val="32"/>
        </w:rPr>
        <w:t>第二部分    明山区城建局2018年度部门决算报表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一、2018年度收入支出决算总表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二、2018年度收入决算表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三、2018年度支出决算表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四、2018年度财政拨款收入支出决算表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五、2018年度一般公共预算财政拨款收入支出决算表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六、2018年度一般公共预算财政拨款基本支出决算表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七、2018年度政府性基金预算财政拨款收入支出决算表</w:t>
      </w:r>
    </w:p>
    <w:p>
      <w:pPr>
        <w:widowControl w:val="0"/>
        <w:autoSpaceDE w:val="0"/>
        <w:autoSpaceDN w:val="0"/>
        <w:spacing w:beforeLines="0" w:afterLines="0" w:line="540" w:lineRule="exact"/>
        <w:rPr>
          <w:rFonts w:hint="default" w:eastAsia="Times New Roman"/>
          <w:sz w:val="32"/>
        </w:rPr>
      </w:pPr>
      <w:r>
        <w:rPr>
          <w:rFonts w:hint="eastAsia" w:ascii="仿宋_GB2312" w:hAnsi="仿宋_GB2312" w:eastAsia="仿宋_GB2312"/>
          <w:sz w:val="32"/>
        </w:rPr>
        <w:t>八、2018年度财政专户管理资金收入支出决算表</w:t>
      </w:r>
    </w:p>
    <w:p>
      <w:pPr>
        <w:widowControl w:val="0"/>
        <w:autoSpaceDE w:val="0"/>
        <w:autoSpaceDN w:val="0"/>
        <w:spacing w:beforeLines="0" w:afterLines="0" w:line="540" w:lineRule="exact"/>
        <w:ind w:left="640" w:hanging="640"/>
        <w:rPr>
          <w:rFonts w:hint="default" w:eastAsia="Times New Roman"/>
          <w:sz w:val="32"/>
        </w:rPr>
      </w:pPr>
      <w:r>
        <w:rPr>
          <w:rFonts w:hint="eastAsia" w:ascii="仿宋_GB2312" w:hAnsi="仿宋_GB2312" w:eastAsia="仿宋_GB2312"/>
          <w:sz w:val="32"/>
        </w:rPr>
        <w:t>九、2018年度一般公共预算财政拨款</w:t>
      </w:r>
      <w:r>
        <w:rPr>
          <w:rFonts w:hint="default" w:eastAsia="Times New Roman"/>
          <w:sz w:val="32"/>
        </w:rPr>
        <w:t>“</w:t>
      </w:r>
      <w:r>
        <w:rPr>
          <w:rFonts w:hint="eastAsia" w:ascii="仿宋_GB2312" w:hAnsi="仿宋_GB2312" w:eastAsia="仿宋_GB2312"/>
          <w:sz w:val="32"/>
        </w:rPr>
        <w:t>三公</w:t>
      </w:r>
      <w:r>
        <w:rPr>
          <w:rFonts w:hint="default" w:eastAsia="Times New Roman"/>
          <w:sz w:val="32"/>
        </w:rPr>
        <w:t>”</w:t>
      </w:r>
      <w:r>
        <w:rPr>
          <w:rFonts w:hint="eastAsia" w:ascii="仿宋_GB2312" w:hAnsi="仿宋_GB2312" w:eastAsia="仿宋_GB2312"/>
          <w:sz w:val="32"/>
        </w:rPr>
        <w:t>经费支出决算表</w:t>
      </w:r>
    </w:p>
    <w:p>
      <w:pPr>
        <w:widowControl w:val="0"/>
        <w:autoSpaceDE w:val="0"/>
        <w:autoSpaceDN w:val="0"/>
        <w:spacing w:beforeLines="0" w:afterLines="0" w:line="540" w:lineRule="exact"/>
        <w:rPr>
          <w:rFonts w:hint="default" w:eastAsia="Times New Roman"/>
          <w:sz w:val="32"/>
        </w:rPr>
      </w:pPr>
      <w:r>
        <w:rPr>
          <w:rFonts w:hint="eastAsia" w:ascii="黑体" w:hAnsi="黑体" w:eastAsia="黑体"/>
          <w:sz w:val="32"/>
        </w:rPr>
        <w:t>第三部分    明山区城建局2018年度部门决算情况说明</w:t>
      </w:r>
    </w:p>
    <w:p>
      <w:pPr>
        <w:widowControl w:val="0"/>
        <w:autoSpaceDE w:val="0"/>
        <w:autoSpaceDN w:val="0"/>
        <w:spacing w:beforeLines="0" w:afterLines="0" w:line="540" w:lineRule="exact"/>
        <w:rPr>
          <w:rFonts w:hint="default" w:eastAsia="Times New Roman"/>
          <w:sz w:val="32"/>
        </w:rPr>
      </w:pPr>
      <w:r>
        <w:rPr>
          <w:rFonts w:hint="eastAsia" w:ascii="黑体" w:hAnsi="黑体" w:eastAsia="黑体"/>
          <w:sz w:val="32"/>
        </w:rPr>
        <w:t>第四部分    名词解释</w:t>
      </w: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b/>
          <w:sz w:val="44"/>
          <w:u w:val="single"/>
        </w:rPr>
      </w:pPr>
    </w:p>
    <w:p>
      <w:pPr>
        <w:widowControl w:val="0"/>
        <w:autoSpaceDE w:val="0"/>
        <w:autoSpaceDN w:val="0"/>
        <w:spacing w:beforeLines="0" w:afterLines="0" w:line="540" w:lineRule="exact"/>
        <w:jc w:val="center"/>
        <w:rPr>
          <w:rFonts w:hint="default" w:eastAsia="Times New Roman"/>
          <w:sz w:val="32"/>
        </w:rPr>
      </w:pPr>
    </w:p>
    <w:p>
      <w:pPr>
        <w:widowControl w:val="0"/>
        <w:autoSpaceDE w:val="0"/>
        <w:autoSpaceDN w:val="0"/>
        <w:spacing w:beforeLines="0" w:afterLines="0" w:line="540" w:lineRule="exact"/>
        <w:jc w:val="center"/>
        <w:rPr>
          <w:rFonts w:hint="default" w:eastAsia="Times New Roman"/>
          <w:sz w:val="32"/>
        </w:rPr>
      </w:pPr>
    </w:p>
    <w:p>
      <w:pPr>
        <w:widowControl w:val="0"/>
        <w:autoSpaceDE w:val="0"/>
        <w:autoSpaceDN w:val="0"/>
        <w:spacing w:beforeLines="0" w:afterLines="0" w:line="540" w:lineRule="exact"/>
        <w:rPr>
          <w:rFonts w:hint="default" w:ascii="宋体"/>
          <w:b/>
          <w:sz w:val="36"/>
        </w:rPr>
      </w:pPr>
    </w:p>
    <w:p>
      <w:pPr>
        <w:widowControl w:val="0"/>
        <w:autoSpaceDE w:val="0"/>
        <w:autoSpaceDN w:val="0"/>
        <w:spacing w:beforeLines="0" w:afterLines="0" w:line="540" w:lineRule="exact"/>
        <w:jc w:val="center"/>
        <w:rPr>
          <w:rFonts w:hint="default" w:eastAsia="Times New Roman"/>
          <w:b/>
          <w:sz w:val="36"/>
        </w:rPr>
      </w:pPr>
      <w:r>
        <w:rPr>
          <w:rFonts w:hint="eastAsia" w:ascii="宋体" w:hAnsi="宋体"/>
          <w:b/>
          <w:sz w:val="36"/>
        </w:rPr>
        <w:t>第一部分 明山区城建局概况</w:t>
      </w:r>
    </w:p>
    <w:p>
      <w:pPr>
        <w:widowControl w:val="0"/>
        <w:autoSpaceDE w:val="0"/>
        <w:autoSpaceDN w:val="0"/>
        <w:spacing w:beforeLines="0" w:afterLines="0" w:line="540" w:lineRule="exact"/>
        <w:ind w:firstLine="640"/>
        <w:rPr>
          <w:rFonts w:hint="default" w:eastAsia="Times New Roman"/>
          <w:sz w:val="32"/>
        </w:rPr>
      </w:pPr>
    </w:p>
    <w:p>
      <w:pPr>
        <w:widowControl w:val="0"/>
        <w:numPr>
          <w:ilvl w:val="0"/>
          <w:numId w:val="1"/>
        </w:numPr>
        <w:autoSpaceDE w:val="0"/>
        <w:autoSpaceDN w:val="0"/>
        <w:spacing w:beforeLines="0" w:afterLines="0" w:line="540" w:lineRule="exact"/>
        <w:ind w:firstLine="640"/>
        <w:rPr>
          <w:rFonts w:hint="default" w:ascii="黑体" w:hAnsi="黑体" w:eastAsia="黑体"/>
          <w:sz w:val="32"/>
        </w:rPr>
      </w:pPr>
      <w:r>
        <w:rPr>
          <w:rFonts w:hint="eastAsia" w:ascii="黑体" w:hAnsi="黑体" w:eastAsia="黑体"/>
          <w:sz w:val="32"/>
        </w:rPr>
        <w:t>主要职责</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（一）贯彻执行国家、省、市关于城市规划、城市建设和城市管理等方面的政策和法律、法规；拟定发展战略和中长期规划，并组织实施和监督检查。</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（二）负责区域内环境卫生管理工作。负责主次干路、街巷路保洁管理工作；指导、检查、考核民办环境卫生管理工作；负责环卫运输及城肥清掏清运管理工作。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（三）负责区域内绿化建设管理工作。负责城区、公共绿地建设管理，指导服务和监督检查居住区绿化建设管理；组织实施义务植树和开展花园式单位（小区）创建、验收、推荐和申报工作。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（四）负责区域内市容市貌管理工作。重点抓好“门前三包”管理、组织冬季除运雪和夏季防汛度汛工作。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（五）负责组织编制、修订、报批区域村镇体系规划；依照法律法规和相关规定负责区域村镇范围内各类永久和临时建设工程的选址、定点审批和管理工作；负责村镇建设档案管理工作。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（六）负责村镇基础设施项目建设的组织实施，负责政府投资或以政府投资为主的重点建设项目的组织管理、审查验收工作。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（七）负责村镇环境卫生管理工作。负责村容镇貌、环境卫生、绿化建设的指导检查、服务协调工作。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（八）负责区域内物业活动的管理、监督、指导。</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（九）负责区域内设施和排水工作。</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（十）承办区政府交办的其他事项。</w:t>
      </w:r>
    </w:p>
    <w:p>
      <w:pPr>
        <w:widowControl w:val="0"/>
        <w:autoSpaceDE w:val="0"/>
        <w:autoSpaceDN w:val="0"/>
        <w:spacing w:beforeLines="0" w:afterLines="0" w:line="540" w:lineRule="exact"/>
        <w:ind w:firstLine="320" w:firstLineChars="100"/>
        <w:rPr>
          <w:rFonts w:hint="default" w:eastAsia="Times New Roman"/>
          <w:sz w:val="32"/>
        </w:rPr>
      </w:pPr>
      <w:r>
        <w:rPr>
          <w:rFonts w:hint="eastAsia" w:ascii="黑体" w:hAnsi="黑体" w:eastAsia="黑体"/>
          <w:sz w:val="32"/>
        </w:rPr>
        <w:t>二、部门决算单位构成</w:t>
      </w:r>
    </w:p>
    <w:p>
      <w:pPr>
        <w:widowControl w:val="0"/>
        <w:autoSpaceDE w:val="0"/>
        <w:autoSpaceDN w:val="0"/>
        <w:spacing w:beforeLines="0" w:afterLines="0" w:line="540" w:lineRule="exact"/>
        <w:ind w:firstLine="640"/>
        <w:rPr>
          <w:rFonts w:hint="default" w:ascii="仿宋_GB2312" w:hAnsi="仿宋_GB2312" w:eastAsia="仿宋_GB2312"/>
          <w:b/>
          <w:sz w:val="32"/>
        </w:rPr>
      </w:pPr>
      <w:r>
        <w:rPr>
          <w:rFonts w:hint="eastAsia" w:ascii="仿宋_GB2312" w:hAnsi="仿宋_GB2312" w:eastAsia="仿宋_GB2312"/>
          <w:b/>
          <w:sz w:val="32"/>
        </w:rPr>
        <w:t>纳入明山区城建局2018年部门决算编制范围的二级预算单位包括：</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（1）、本溪市明山区城乡建设管理局机关</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（2）、本溪市明山区住宅与物业管理办公室</w:t>
      </w:r>
    </w:p>
    <w:p>
      <w:pPr>
        <w:snapToGrid w:val="0"/>
        <w:spacing w:beforeLines="0" w:afterLines="0" w:line="520" w:lineRule="exact"/>
        <w:ind w:firstLine="640" w:firstLineChars="200"/>
        <w:rPr>
          <w:rFonts w:hint="default" w:ascii="仿宋" w:hAnsi="仿宋" w:eastAsia="仿宋"/>
          <w:sz w:val="32"/>
        </w:rPr>
      </w:pPr>
      <w:r>
        <w:rPr>
          <w:rFonts w:hint="eastAsia" w:ascii="仿宋" w:hAnsi="仿宋" w:eastAsia="仿宋"/>
          <w:sz w:val="32"/>
        </w:rPr>
        <w:t>（3）、本溪市明山区村镇建设管理监察大队</w:t>
      </w: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p>
    <w:p>
      <w:pPr>
        <w:widowControl w:val="0"/>
        <w:autoSpaceDE w:val="0"/>
        <w:autoSpaceDN w:val="0"/>
        <w:spacing w:beforeLines="0" w:afterLines="0" w:line="540" w:lineRule="exact"/>
        <w:ind w:firstLine="723" w:firstLineChars="200"/>
        <w:rPr>
          <w:rFonts w:hint="default" w:ascii="宋体"/>
          <w:b/>
          <w:sz w:val="36"/>
        </w:rPr>
      </w:pPr>
      <w:r>
        <w:rPr>
          <w:rFonts w:hint="eastAsia" w:ascii="宋体" w:hAnsi="宋体"/>
          <w:b/>
          <w:sz w:val="36"/>
        </w:rPr>
        <w:t>第二部分 明山区城建局2018年度部门决算公开报表</w:t>
      </w:r>
    </w:p>
    <w:p>
      <w:pPr>
        <w:widowControl w:val="0"/>
        <w:autoSpaceDE w:val="0"/>
        <w:autoSpaceDN w:val="0"/>
        <w:spacing w:beforeLines="0" w:afterLines="0" w:line="540" w:lineRule="exact"/>
        <w:ind w:firstLine="643" w:firstLineChars="200"/>
        <w:rPr>
          <w:rFonts w:hint="default" w:ascii="仿宋" w:hAnsi="仿宋" w:eastAsia="仿宋"/>
          <w:b/>
          <w:sz w:val="32"/>
        </w:rPr>
      </w:pPr>
      <w:r>
        <w:rPr>
          <w:rFonts w:hint="eastAsia" w:ascii="仿宋" w:hAnsi="仿宋" w:eastAsia="仿宋"/>
          <w:b/>
          <w:sz w:val="32"/>
        </w:rPr>
        <w:t>一、2018年度收入支出决算总表</w:t>
      </w:r>
    </w:p>
    <w:p>
      <w:pPr>
        <w:widowControl w:val="0"/>
        <w:autoSpaceDE w:val="0"/>
        <w:autoSpaceDN w:val="0"/>
        <w:spacing w:beforeLines="0" w:afterLines="0"/>
        <w:rPr>
          <w:rFonts w:hint="default"/>
          <w:b/>
          <w:sz w:val="32"/>
        </w:rPr>
      </w:pPr>
      <w:r>
        <w:rPr>
          <w:rFonts w:hint="default" w:eastAsia="Times New Roman"/>
          <w:b/>
          <w:sz w:val="32"/>
        </w:rPr>
        <w:drawing>
          <wp:inline distT="0" distB="0" distL="114300" distR="114300">
            <wp:extent cx="5251450" cy="4023360"/>
            <wp:effectExtent l="0" t="0" r="6350" b="15240"/>
            <wp:docPr id="1" name="图片 1" descr="辽宁省本溪市明山区城乡建设管理局18公开"/>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辽宁省本溪市明山区城乡建设管理局18公开"/>
                    <pic:cNvPicPr>
                      <a:picLocks noChangeAspect="1"/>
                    </pic:cNvPicPr>
                  </pic:nvPicPr>
                  <pic:blipFill>
                    <a:blip r:embed="rId4"/>
                    <a:stretch>
                      <a:fillRect/>
                    </a:stretch>
                  </pic:blipFill>
                  <pic:spPr>
                    <a:xfrm>
                      <a:off x="0" y="0"/>
                      <a:ext cx="5251450" cy="4023360"/>
                    </a:xfrm>
                    <a:prstGeom prst="rect">
                      <a:avLst/>
                    </a:prstGeom>
                    <a:noFill/>
                    <a:ln>
                      <a:noFill/>
                    </a:ln>
                  </pic:spPr>
                </pic:pic>
              </a:graphicData>
            </a:graphic>
          </wp:inline>
        </w:drawing>
      </w: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p>
    <w:p>
      <w:pPr>
        <w:widowControl w:val="0"/>
        <w:autoSpaceDE w:val="0"/>
        <w:autoSpaceDN w:val="0"/>
        <w:spacing w:beforeLines="0" w:afterLines="0" w:line="540" w:lineRule="exact"/>
        <w:rPr>
          <w:rFonts w:hint="default" w:ascii="仿宋" w:hAnsi="仿宋" w:eastAsia="仿宋"/>
          <w:b/>
          <w:sz w:val="32"/>
        </w:rPr>
      </w:pPr>
      <w:r>
        <w:rPr>
          <w:rFonts w:hint="eastAsia" w:ascii="仿宋" w:hAnsi="仿宋" w:eastAsia="仿宋"/>
          <w:b/>
          <w:sz w:val="32"/>
        </w:rPr>
        <w:t>二、2018年度收入决算表</w:t>
      </w:r>
    </w:p>
    <w:p>
      <w:pPr>
        <w:widowControl w:val="0"/>
        <w:autoSpaceDE w:val="0"/>
        <w:autoSpaceDN w:val="0"/>
        <w:spacing w:beforeLines="0" w:afterLines="0"/>
        <w:rPr>
          <w:rFonts w:hint="default"/>
          <w:b/>
          <w:sz w:val="32"/>
        </w:rPr>
      </w:pPr>
      <w:r>
        <w:rPr>
          <w:rFonts w:hint="default" w:eastAsia="Times New Roman"/>
          <w:b/>
          <w:sz w:val="32"/>
        </w:rPr>
        <w:drawing>
          <wp:inline distT="0" distB="0" distL="114300" distR="114300">
            <wp:extent cx="5465445" cy="3451860"/>
            <wp:effectExtent l="0" t="0" r="1905" b="15240"/>
            <wp:docPr id="2" name="图片 2" descr="辽宁省本溪市明山区城乡建设管理局18公开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辽宁省本溪市明山区城乡建设管理局18公开2"/>
                    <pic:cNvPicPr>
                      <a:picLocks noChangeAspect="1"/>
                    </pic:cNvPicPr>
                  </pic:nvPicPr>
                  <pic:blipFill>
                    <a:blip r:embed="rId5"/>
                    <a:stretch>
                      <a:fillRect/>
                    </a:stretch>
                  </pic:blipFill>
                  <pic:spPr>
                    <a:xfrm>
                      <a:off x="0" y="0"/>
                      <a:ext cx="5465445" cy="3451860"/>
                    </a:xfrm>
                    <a:prstGeom prst="rect">
                      <a:avLst/>
                    </a:prstGeom>
                    <a:noFill/>
                    <a:ln>
                      <a:noFill/>
                    </a:ln>
                  </pic:spPr>
                </pic:pic>
              </a:graphicData>
            </a:graphic>
          </wp:inline>
        </w:drawing>
      </w:r>
    </w:p>
    <w:p>
      <w:pPr>
        <w:widowControl w:val="0"/>
        <w:autoSpaceDE w:val="0"/>
        <w:autoSpaceDN w:val="0"/>
        <w:spacing w:beforeLines="0" w:afterLines="0"/>
        <w:rPr>
          <w:rFonts w:hint="default" w:ascii="仿宋" w:hAnsi="仿宋" w:eastAsia="仿宋"/>
          <w:b/>
          <w:sz w:val="32"/>
        </w:rPr>
      </w:pPr>
      <w:r>
        <w:rPr>
          <w:rFonts w:hint="eastAsia" w:ascii="仿宋" w:hAnsi="仿宋" w:eastAsia="仿宋"/>
          <w:b/>
          <w:sz w:val="32"/>
        </w:rPr>
        <w:t>三、2018年度支出决算表</w:t>
      </w:r>
    </w:p>
    <w:p>
      <w:pPr>
        <w:widowControl w:val="0"/>
        <w:autoSpaceDE w:val="0"/>
        <w:autoSpaceDN w:val="0"/>
        <w:spacing w:beforeLines="0" w:afterLines="0"/>
        <w:rPr>
          <w:rFonts w:hint="default" w:ascii="仿宋" w:hAnsi="仿宋" w:eastAsia="仿宋"/>
          <w:b/>
          <w:sz w:val="32"/>
        </w:rPr>
      </w:pPr>
      <w:r>
        <w:rPr>
          <w:rFonts w:hint="default" w:eastAsia="Times New Roman"/>
          <w:b/>
          <w:sz w:val="32"/>
        </w:rPr>
        <w:drawing>
          <wp:inline distT="0" distB="0" distL="114300" distR="114300">
            <wp:extent cx="5441950" cy="4139565"/>
            <wp:effectExtent l="0" t="0" r="6350" b="13335"/>
            <wp:docPr id="3" name="图片 3" descr="辽宁省本溪市明山区城乡建设管理局18公开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辽宁省本溪市明山区城乡建设管理局18公开3"/>
                    <pic:cNvPicPr>
                      <a:picLocks noChangeAspect="1"/>
                    </pic:cNvPicPr>
                  </pic:nvPicPr>
                  <pic:blipFill>
                    <a:blip r:embed="rId6"/>
                    <a:stretch>
                      <a:fillRect/>
                    </a:stretch>
                  </pic:blipFill>
                  <pic:spPr>
                    <a:xfrm>
                      <a:off x="0" y="0"/>
                      <a:ext cx="5441950" cy="4139565"/>
                    </a:xfrm>
                    <a:prstGeom prst="rect">
                      <a:avLst/>
                    </a:prstGeom>
                    <a:noFill/>
                    <a:ln>
                      <a:noFill/>
                    </a:ln>
                  </pic:spPr>
                </pic:pic>
              </a:graphicData>
            </a:graphic>
          </wp:inline>
        </w:drawing>
      </w:r>
    </w:p>
    <w:p>
      <w:pPr>
        <w:widowControl w:val="0"/>
        <w:autoSpaceDE w:val="0"/>
        <w:autoSpaceDN w:val="0"/>
        <w:spacing w:beforeLines="0" w:afterLines="0"/>
        <w:rPr>
          <w:rFonts w:hint="default" w:ascii="仿宋" w:hAnsi="仿宋" w:eastAsia="仿宋"/>
          <w:b/>
          <w:sz w:val="32"/>
        </w:rPr>
      </w:pPr>
      <w:r>
        <w:rPr>
          <w:rFonts w:hint="eastAsia" w:ascii="仿宋" w:hAnsi="仿宋" w:eastAsia="仿宋"/>
          <w:b/>
          <w:sz w:val="32"/>
        </w:rPr>
        <w:t>四、2018年度财政拨款收入支出决算表</w:t>
      </w:r>
    </w:p>
    <w:p>
      <w:pPr>
        <w:widowControl w:val="0"/>
        <w:autoSpaceDE w:val="0"/>
        <w:autoSpaceDN w:val="0"/>
        <w:spacing w:beforeLines="0" w:afterLines="0"/>
        <w:rPr>
          <w:rFonts w:hint="default" w:eastAsia="Times New Roman"/>
          <w:b/>
          <w:sz w:val="32"/>
        </w:rPr>
      </w:pPr>
      <w:r>
        <w:rPr>
          <w:rFonts w:hint="default" w:eastAsia="Times New Roman"/>
          <w:b/>
          <w:sz w:val="32"/>
        </w:rPr>
        <w:drawing>
          <wp:inline distT="0" distB="0" distL="114300" distR="114300">
            <wp:extent cx="5455920" cy="4056380"/>
            <wp:effectExtent l="0" t="0" r="11430" b="1270"/>
            <wp:docPr id="4" name="图片 4" descr="辽宁省本溪市明山区城乡建设管理局18公开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辽宁省本溪市明山区城乡建设管理局18公开4"/>
                    <pic:cNvPicPr>
                      <a:picLocks noChangeAspect="1"/>
                    </pic:cNvPicPr>
                  </pic:nvPicPr>
                  <pic:blipFill>
                    <a:blip r:embed="rId7"/>
                    <a:stretch>
                      <a:fillRect/>
                    </a:stretch>
                  </pic:blipFill>
                  <pic:spPr>
                    <a:xfrm>
                      <a:off x="0" y="0"/>
                      <a:ext cx="5455920" cy="4056380"/>
                    </a:xfrm>
                    <a:prstGeom prst="rect">
                      <a:avLst/>
                    </a:prstGeom>
                    <a:noFill/>
                    <a:ln>
                      <a:noFill/>
                    </a:ln>
                  </pic:spPr>
                </pic:pic>
              </a:graphicData>
            </a:graphic>
          </wp:inline>
        </w:drawing>
      </w:r>
    </w:p>
    <w:p>
      <w:pPr>
        <w:widowControl w:val="0"/>
        <w:autoSpaceDE w:val="0"/>
        <w:autoSpaceDN w:val="0"/>
        <w:spacing w:beforeLines="0" w:afterLines="0" w:line="540" w:lineRule="exact"/>
        <w:rPr>
          <w:rFonts w:hint="default" w:ascii="仿宋" w:hAnsi="仿宋" w:eastAsia="仿宋"/>
          <w:b/>
          <w:sz w:val="32"/>
        </w:rPr>
      </w:pPr>
      <w:r>
        <w:rPr>
          <w:rFonts w:hint="eastAsia" w:ascii="仿宋" w:hAnsi="仿宋" w:eastAsia="仿宋"/>
          <w:b/>
          <w:sz w:val="32"/>
        </w:rPr>
        <w:t>五、2018年度一般公共预算财政拨款收入支出决算表</w:t>
      </w:r>
    </w:p>
    <w:p>
      <w:pPr>
        <w:widowControl w:val="0"/>
        <w:autoSpaceDE w:val="0"/>
        <w:autoSpaceDN w:val="0"/>
        <w:spacing w:beforeLines="0" w:afterLines="0"/>
        <w:rPr>
          <w:rFonts w:hint="default" w:ascii="仿宋" w:hAnsi="仿宋" w:eastAsia="仿宋"/>
          <w:b/>
          <w:sz w:val="32"/>
        </w:rPr>
      </w:pPr>
      <w:r>
        <w:rPr>
          <w:rFonts w:hint="default" w:eastAsia="Times New Roman"/>
          <w:b/>
          <w:sz w:val="32"/>
        </w:rPr>
        <w:drawing>
          <wp:inline distT="0" distB="0" distL="114300" distR="114300">
            <wp:extent cx="5481955" cy="3515995"/>
            <wp:effectExtent l="0" t="0" r="4445" b="8255"/>
            <wp:docPr id="5" name="图片 5" descr="辽宁省本溪市明山区城乡建设管理局18公开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辽宁省本溪市明山区城乡建设管理局18公开5"/>
                    <pic:cNvPicPr>
                      <a:picLocks noChangeAspect="1"/>
                    </pic:cNvPicPr>
                  </pic:nvPicPr>
                  <pic:blipFill>
                    <a:blip r:embed="rId8"/>
                    <a:stretch>
                      <a:fillRect/>
                    </a:stretch>
                  </pic:blipFill>
                  <pic:spPr>
                    <a:xfrm>
                      <a:off x="0" y="0"/>
                      <a:ext cx="5481955" cy="3515995"/>
                    </a:xfrm>
                    <a:prstGeom prst="rect">
                      <a:avLst/>
                    </a:prstGeom>
                    <a:noFill/>
                    <a:ln>
                      <a:noFill/>
                    </a:ln>
                  </pic:spPr>
                </pic:pic>
              </a:graphicData>
            </a:graphic>
          </wp:inline>
        </w:drawing>
      </w:r>
    </w:p>
    <w:p>
      <w:pPr>
        <w:widowControl w:val="0"/>
        <w:autoSpaceDE w:val="0"/>
        <w:autoSpaceDN w:val="0"/>
        <w:spacing w:beforeLines="0" w:afterLines="0" w:line="540" w:lineRule="exact"/>
        <w:rPr>
          <w:rFonts w:hint="default" w:ascii="仿宋" w:hAnsi="仿宋" w:eastAsia="仿宋"/>
          <w:b/>
          <w:sz w:val="32"/>
        </w:rPr>
      </w:pPr>
      <w:r>
        <w:rPr>
          <w:rFonts w:hint="eastAsia" w:ascii="仿宋" w:hAnsi="仿宋" w:eastAsia="仿宋"/>
          <w:b/>
          <w:sz w:val="32"/>
        </w:rPr>
        <w:t>六、2018年度一般公共预算财政拨款基本支出决算表</w:t>
      </w:r>
    </w:p>
    <w:p>
      <w:pPr>
        <w:widowControl w:val="0"/>
        <w:autoSpaceDE w:val="0"/>
        <w:autoSpaceDN w:val="0"/>
        <w:spacing w:beforeLines="0" w:afterLines="0"/>
        <w:rPr>
          <w:rFonts w:hint="default"/>
          <w:b/>
          <w:sz w:val="32"/>
        </w:rPr>
      </w:pPr>
      <w:r>
        <w:rPr>
          <w:rFonts w:hint="default" w:eastAsia="Times New Roman"/>
          <w:b/>
          <w:sz w:val="32"/>
        </w:rPr>
        <w:drawing>
          <wp:inline distT="0" distB="0" distL="114300" distR="114300">
            <wp:extent cx="5511800" cy="3549650"/>
            <wp:effectExtent l="0" t="0" r="12700" b="12700"/>
            <wp:docPr id="6" name="图片 6" descr="辽宁省本溪市明山区城乡建设管理局18公开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辽宁省本溪市明山区城乡建设管理局18公开6"/>
                    <pic:cNvPicPr>
                      <a:picLocks noChangeAspect="1"/>
                    </pic:cNvPicPr>
                  </pic:nvPicPr>
                  <pic:blipFill>
                    <a:blip r:embed="rId9"/>
                    <a:stretch>
                      <a:fillRect/>
                    </a:stretch>
                  </pic:blipFill>
                  <pic:spPr>
                    <a:xfrm>
                      <a:off x="0" y="0"/>
                      <a:ext cx="5511800" cy="3549650"/>
                    </a:xfrm>
                    <a:prstGeom prst="rect">
                      <a:avLst/>
                    </a:prstGeom>
                    <a:noFill/>
                    <a:ln>
                      <a:noFill/>
                    </a:ln>
                  </pic:spPr>
                </pic:pic>
              </a:graphicData>
            </a:graphic>
          </wp:inline>
        </w:drawing>
      </w:r>
    </w:p>
    <w:p>
      <w:pPr>
        <w:widowControl w:val="0"/>
        <w:autoSpaceDE w:val="0"/>
        <w:autoSpaceDN w:val="0"/>
        <w:spacing w:beforeLines="0" w:afterLines="0" w:line="540" w:lineRule="exact"/>
        <w:rPr>
          <w:rFonts w:hint="default"/>
          <w:b/>
          <w:sz w:val="32"/>
        </w:rPr>
      </w:pPr>
    </w:p>
    <w:p>
      <w:pPr>
        <w:widowControl w:val="0"/>
        <w:autoSpaceDE w:val="0"/>
        <w:autoSpaceDN w:val="0"/>
        <w:spacing w:beforeLines="0" w:afterLines="0" w:line="540" w:lineRule="exact"/>
        <w:rPr>
          <w:rFonts w:hint="default" w:ascii="仿宋" w:hAnsi="仿宋" w:eastAsia="仿宋"/>
          <w:b/>
          <w:sz w:val="32"/>
        </w:rPr>
      </w:pPr>
      <w:r>
        <w:rPr>
          <w:rFonts w:hint="eastAsia" w:ascii="仿宋" w:hAnsi="仿宋" w:eastAsia="仿宋"/>
          <w:b/>
          <w:sz w:val="32"/>
        </w:rPr>
        <w:t>七、2018年度政府性基金预算财政拨款收入支出决算表</w:t>
      </w:r>
    </w:p>
    <w:p>
      <w:pPr>
        <w:widowControl w:val="0"/>
        <w:autoSpaceDE w:val="0"/>
        <w:autoSpaceDN w:val="0"/>
        <w:spacing w:beforeLines="0" w:afterLines="0"/>
        <w:rPr>
          <w:rFonts w:hint="default"/>
          <w:b/>
          <w:sz w:val="32"/>
        </w:rPr>
      </w:pPr>
      <w:r>
        <w:rPr>
          <w:rFonts w:hint="default" w:eastAsia="Times New Roman"/>
          <w:b/>
          <w:sz w:val="32"/>
        </w:rPr>
        <w:drawing>
          <wp:inline distT="0" distB="0" distL="114300" distR="114300">
            <wp:extent cx="5433060" cy="1433830"/>
            <wp:effectExtent l="0" t="0" r="15240" b="13970"/>
            <wp:docPr id="7" name="图片 7" descr="辽宁省本溪市明山区城乡建设管理局18公开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辽宁省本溪市明山区城乡建设管理局18公开7"/>
                    <pic:cNvPicPr>
                      <a:picLocks noChangeAspect="1"/>
                    </pic:cNvPicPr>
                  </pic:nvPicPr>
                  <pic:blipFill>
                    <a:blip r:embed="rId10"/>
                    <a:stretch>
                      <a:fillRect/>
                    </a:stretch>
                  </pic:blipFill>
                  <pic:spPr>
                    <a:xfrm>
                      <a:off x="0" y="0"/>
                      <a:ext cx="5433060" cy="1433830"/>
                    </a:xfrm>
                    <a:prstGeom prst="rect">
                      <a:avLst/>
                    </a:prstGeom>
                    <a:noFill/>
                    <a:ln>
                      <a:noFill/>
                    </a:ln>
                  </pic:spPr>
                </pic:pic>
              </a:graphicData>
            </a:graphic>
          </wp:inline>
        </w:drawing>
      </w:r>
    </w:p>
    <w:p>
      <w:pPr>
        <w:widowControl w:val="0"/>
        <w:autoSpaceDE w:val="0"/>
        <w:autoSpaceDN w:val="0"/>
        <w:spacing w:beforeLines="0" w:afterLines="0" w:line="540" w:lineRule="exact"/>
        <w:rPr>
          <w:rFonts w:hint="default"/>
          <w:sz w:val="36"/>
        </w:rPr>
      </w:pPr>
    </w:p>
    <w:p>
      <w:pPr>
        <w:widowControl w:val="0"/>
        <w:autoSpaceDE w:val="0"/>
        <w:autoSpaceDN w:val="0"/>
        <w:spacing w:beforeLines="0" w:afterLines="0" w:line="540" w:lineRule="exact"/>
        <w:rPr>
          <w:rFonts w:hint="default" w:ascii="仿宋" w:hAnsi="仿宋" w:eastAsia="仿宋"/>
          <w:b/>
          <w:sz w:val="32"/>
        </w:rPr>
      </w:pPr>
      <w:r>
        <w:rPr>
          <w:rFonts w:hint="eastAsia" w:ascii="仿宋" w:hAnsi="仿宋" w:eastAsia="仿宋"/>
          <w:b/>
          <w:sz w:val="32"/>
        </w:rPr>
        <w:t>八、2018年度财政专户管理资金收入支出决算表</w:t>
      </w:r>
    </w:p>
    <w:p>
      <w:pPr>
        <w:widowControl w:val="0"/>
        <w:autoSpaceDE w:val="0"/>
        <w:autoSpaceDN w:val="0"/>
        <w:spacing w:beforeLines="0" w:afterLines="0"/>
        <w:rPr>
          <w:rFonts w:hint="default"/>
          <w:sz w:val="36"/>
        </w:rPr>
      </w:pPr>
      <w:r>
        <w:rPr>
          <w:rFonts w:hint="default" w:eastAsia="Times New Roman"/>
          <w:sz w:val="36"/>
        </w:rPr>
        <w:drawing>
          <wp:inline distT="0" distB="0" distL="114300" distR="114300">
            <wp:extent cx="5512435" cy="1281430"/>
            <wp:effectExtent l="0" t="0" r="12065" b="13970"/>
            <wp:docPr id="8" name="图片 8" descr="辽宁省本溪市明山区城乡建设管理局18公开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descr="辽宁省本溪市明山区城乡建设管理局18公开8"/>
                    <pic:cNvPicPr>
                      <a:picLocks noChangeAspect="1"/>
                    </pic:cNvPicPr>
                  </pic:nvPicPr>
                  <pic:blipFill>
                    <a:blip r:embed="rId11"/>
                    <a:stretch>
                      <a:fillRect/>
                    </a:stretch>
                  </pic:blipFill>
                  <pic:spPr>
                    <a:xfrm>
                      <a:off x="0" y="0"/>
                      <a:ext cx="5512435" cy="1281430"/>
                    </a:xfrm>
                    <a:prstGeom prst="rect">
                      <a:avLst/>
                    </a:prstGeom>
                    <a:noFill/>
                    <a:ln>
                      <a:noFill/>
                    </a:ln>
                  </pic:spPr>
                </pic:pic>
              </a:graphicData>
            </a:graphic>
          </wp:inline>
        </w:drawing>
      </w:r>
    </w:p>
    <w:p>
      <w:pPr>
        <w:widowControl w:val="0"/>
        <w:autoSpaceDE w:val="0"/>
        <w:autoSpaceDN w:val="0"/>
        <w:spacing w:beforeLines="0" w:afterLines="0" w:line="540" w:lineRule="exact"/>
        <w:rPr>
          <w:rFonts w:hint="default" w:ascii="仿宋" w:hAnsi="仿宋" w:eastAsia="仿宋"/>
          <w:b/>
          <w:sz w:val="32"/>
        </w:rPr>
      </w:pPr>
      <w:r>
        <w:rPr>
          <w:rFonts w:hint="eastAsia" w:ascii="仿宋" w:hAnsi="仿宋" w:eastAsia="仿宋"/>
          <w:b/>
          <w:sz w:val="32"/>
        </w:rPr>
        <w:t>九、2018年度一般公共预算财政拨款“三公”经费支出决算表</w:t>
      </w:r>
    </w:p>
    <w:p>
      <w:pPr>
        <w:widowControl w:val="0"/>
        <w:autoSpaceDE w:val="0"/>
        <w:autoSpaceDN w:val="0"/>
        <w:spacing w:beforeLines="0" w:afterLines="0"/>
        <w:rPr>
          <w:rFonts w:hint="default"/>
          <w:sz w:val="36"/>
        </w:rPr>
      </w:pPr>
      <w:r>
        <w:rPr>
          <w:rFonts w:hint="default" w:ascii="仿宋" w:hAnsi="仿宋" w:eastAsia="仿宋"/>
          <w:sz w:val="32"/>
        </w:rPr>
        <w:drawing>
          <wp:inline distT="0" distB="0" distL="114300" distR="114300">
            <wp:extent cx="5440045" cy="1800225"/>
            <wp:effectExtent l="0" t="0" r="8255" b="9525"/>
            <wp:docPr id="9" name="图片 9" descr="辽宁省本溪市明山区城乡建设管理局18公开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9" descr="辽宁省本溪市明山区城乡建设管理局18公开9"/>
                    <pic:cNvPicPr>
                      <a:picLocks noChangeAspect="1"/>
                    </pic:cNvPicPr>
                  </pic:nvPicPr>
                  <pic:blipFill>
                    <a:blip r:embed="rId12"/>
                    <a:stretch>
                      <a:fillRect/>
                    </a:stretch>
                  </pic:blipFill>
                  <pic:spPr>
                    <a:xfrm>
                      <a:off x="0" y="0"/>
                      <a:ext cx="5440045" cy="1800225"/>
                    </a:xfrm>
                    <a:prstGeom prst="rect">
                      <a:avLst/>
                    </a:prstGeom>
                    <a:noFill/>
                    <a:ln>
                      <a:noFill/>
                    </a:ln>
                  </pic:spPr>
                </pic:pic>
              </a:graphicData>
            </a:graphic>
          </wp:inline>
        </w:drawing>
      </w: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ascii="宋体"/>
          <w:b/>
          <w:sz w:val="36"/>
        </w:rPr>
      </w:pPr>
    </w:p>
    <w:p>
      <w:pPr>
        <w:widowControl w:val="0"/>
        <w:autoSpaceDE w:val="0"/>
        <w:autoSpaceDN w:val="0"/>
        <w:spacing w:beforeLines="0" w:afterLines="0" w:line="540" w:lineRule="exact"/>
        <w:jc w:val="center"/>
        <w:rPr>
          <w:rFonts w:hint="default" w:eastAsia="Times New Roman"/>
          <w:b/>
          <w:sz w:val="36"/>
        </w:rPr>
      </w:pPr>
      <w:r>
        <w:rPr>
          <w:rFonts w:hint="eastAsia" w:ascii="宋体" w:hAnsi="宋体"/>
          <w:b/>
          <w:sz w:val="36"/>
        </w:rPr>
        <w:t>第三部分   明山区城建局2018年度部门决算情况说明</w:t>
      </w:r>
    </w:p>
    <w:p>
      <w:pPr>
        <w:widowControl w:val="0"/>
        <w:autoSpaceDE w:val="0"/>
        <w:autoSpaceDN w:val="0"/>
        <w:spacing w:beforeLines="0" w:afterLines="0" w:line="540" w:lineRule="exact"/>
        <w:ind w:firstLine="960" w:firstLineChars="300"/>
        <w:rPr>
          <w:rFonts w:hint="default" w:eastAsia="Times New Roman"/>
          <w:sz w:val="32"/>
        </w:rPr>
      </w:pPr>
      <w:r>
        <w:rPr>
          <w:rFonts w:hint="eastAsia" w:ascii="黑体" w:hAnsi="黑体" w:eastAsia="黑体"/>
          <w:sz w:val="32"/>
        </w:rPr>
        <w:t>一、收入支出决算总体情况</w:t>
      </w:r>
    </w:p>
    <w:p>
      <w:pPr>
        <w:widowControl w:val="0"/>
        <w:autoSpaceDE w:val="0"/>
        <w:autoSpaceDN w:val="0"/>
        <w:spacing w:beforeLines="0" w:afterLines="0" w:line="540" w:lineRule="exact"/>
        <w:ind w:firstLine="660"/>
        <w:rPr>
          <w:rFonts w:hint="default" w:eastAsia="Times New Roman"/>
          <w:b/>
          <w:sz w:val="32"/>
        </w:rPr>
      </w:pPr>
      <w:r>
        <w:rPr>
          <w:rFonts w:hint="eastAsia" w:ascii="楷体_GB2312" w:hAnsi="楷体_GB2312" w:eastAsia="楷体_GB2312"/>
          <w:b/>
          <w:sz w:val="32"/>
        </w:rPr>
        <w:t>（一）收入总计20948.77万元，包括：</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1.财政拨款收入20948.77万元，其中：一般公共预算财政拨款收入20948.77万元，政府性基金预算财政拨款收入</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2.上级补助收入</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3.事业收入</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4.经营收入</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5.附属单位上缴收入</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6.其他收入</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7.用事业基金弥补收支差额</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ascii="仿宋_GB2312" w:hAnsi="仿宋_GB2312" w:eastAsia="仿宋_GB2312"/>
          <w:sz w:val="32"/>
        </w:rPr>
      </w:pPr>
      <w:r>
        <w:rPr>
          <w:rFonts w:hint="eastAsia" w:ascii="仿宋_GB2312" w:hAnsi="仿宋_GB2312" w:eastAsia="仿宋_GB2312"/>
          <w:sz w:val="32"/>
        </w:rPr>
        <w:t>8.上年结转和结余</w:t>
      </w:r>
      <w:r>
        <w:rPr>
          <w:rFonts w:hint="default" w:ascii="仿宋_GB2312" w:hAnsi="仿宋_GB2312" w:eastAsia="仿宋_GB2312"/>
          <w:sz w:val="32"/>
        </w:rPr>
        <w:t>0</w:t>
      </w:r>
      <w:r>
        <w:rPr>
          <w:rFonts w:hint="eastAsia" w:ascii="仿宋_GB2312" w:hAnsi="仿宋_GB2312" w:eastAsia="仿宋_GB2312"/>
          <w:sz w:val="32"/>
        </w:rPr>
        <w:t>万元。</w:t>
      </w:r>
    </w:p>
    <w:p>
      <w:pPr>
        <w:spacing w:beforeLines="0" w:afterLines="0" w:line="540" w:lineRule="exact"/>
        <w:ind w:firstLine="640" w:firstLineChars="200"/>
        <w:rPr>
          <w:rFonts w:hint="default" w:ascii="仿宋" w:hAnsi="仿宋" w:eastAsia="仿宋_GB2312"/>
          <w:sz w:val="32"/>
        </w:rPr>
      </w:pPr>
      <w:r>
        <w:rPr>
          <w:rFonts w:hint="eastAsia" w:ascii="仿宋_GB2312" w:hAnsi="宋体" w:eastAsia="仿宋_GB2312"/>
          <w:sz w:val="32"/>
        </w:rPr>
        <w:t>与上年相比，今年收入增加20192.17万元，提高96.39%，主要原因：工程建设拨款增加。</w:t>
      </w:r>
    </w:p>
    <w:p>
      <w:pPr>
        <w:widowControl w:val="0"/>
        <w:autoSpaceDE w:val="0"/>
        <w:autoSpaceDN w:val="0"/>
        <w:spacing w:beforeLines="0" w:afterLines="0" w:line="540" w:lineRule="exact"/>
        <w:ind w:firstLine="643" w:firstLineChars="200"/>
        <w:rPr>
          <w:rFonts w:hint="default" w:eastAsia="Times New Roman"/>
          <w:b/>
          <w:sz w:val="32"/>
        </w:rPr>
      </w:pPr>
      <w:r>
        <w:rPr>
          <w:rFonts w:hint="eastAsia" w:ascii="楷体_GB2312" w:hAnsi="楷体_GB2312" w:eastAsia="楷体_GB2312"/>
          <w:b/>
          <w:sz w:val="32"/>
        </w:rPr>
        <w:t>（二）支出总计2066.33万元，包括：</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1.基本支出105.58万元，主要是为保障机构正常运转、完成日常工作任务而发生的各项支出，其中：工资福利支出91.19万元，对个人和家庭的补助支出0.98万元，商品和服务支出13.41万元。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2.项目支出1960.75万元，主要包括基层政权和社区建设支出257.66万元，其他城乡社区管理事务支出64.25万元，城乡社区环境卫生支出197.84万元，防汛支出10万元，棚户区改造支出1400万元，农村危房改造支出31万元。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3.上缴上级支出</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4.经营支出</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ascii="仿宋_GB2312" w:hAnsi="仿宋_GB2312" w:eastAsia="仿宋_GB2312"/>
          <w:sz w:val="32"/>
        </w:rPr>
      </w:pPr>
      <w:r>
        <w:rPr>
          <w:rFonts w:hint="eastAsia" w:ascii="仿宋_GB2312" w:hAnsi="仿宋_GB2312" w:eastAsia="仿宋_GB2312"/>
          <w:sz w:val="32"/>
        </w:rPr>
        <w:t>5.对附属单位补助支出</w:t>
      </w:r>
      <w:r>
        <w:rPr>
          <w:rFonts w:hint="default" w:ascii="仿宋_GB2312" w:hAnsi="仿宋_GB2312" w:eastAsia="仿宋_GB2312"/>
          <w:sz w:val="32"/>
        </w:rPr>
        <w:t>0</w:t>
      </w:r>
      <w:r>
        <w:rPr>
          <w:rFonts w:hint="eastAsia" w:ascii="仿宋_GB2312" w:hAnsi="仿宋_GB2312" w:eastAsia="仿宋_GB2312"/>
          <w:sz w:val="32"/>
        </w:rPr>
        <w:t>万元。</w:t>
      </w:r>
    </w:p>
    <w:p>
      <w:pPr>
        <w:spacing w:beforeLines="0" w:afterLines="0" w:line="540" w:lineRule="exact"/>
        <w:ind w:firstLine="660"/>
        <w:rPr>
          <w:rFonts w:hint="default" w:ascii="仿宋_GB2312" w:hAnsi="仿宋_GB2312" w:eastAsia="仿宋_GB2312"/>
          <w:sz w:val="32"/>
        </w:rPr>
      </w:pPr>
      <w:r>
        <w:rPr>
          <w:rFonts w:hint="eastAsia" w:ascii="仿宋_GB2312" w:hAnsi="宋体" w:eastAsia="仿宋_GB2312"/>
          <w:sz w:val="32"/>
        </w:rPr>
        <w:t>与上年相比，今年支出增加1309.78万元，提高63.39%，主要原因：</w:t>
      </w:r>
      <w:r>
        <w:rPr>
          <w:rFonts w:hint="eastAsia" w:ascii="仿宋" w:hAnsi="仿宋" w:eastAsia="仿宋"/>
          <w:sz w:val="32"/>
        </w:rPr>
        <w:t>工程建设支出。</w:t>
      </w:r>
    </w:p>
    <w:p>
      <w:pPr>
        <w:widowControl w:val="0"/>
        <w:autoSpaceDE w:val="0"/>
        <w:autoSpaceDN w:val="0"/>
        <w:spacing w:beforeLines="0" w:afterLines="0" w:line="540" w:lineRule="exact"/>
        <w:ind w:firstLine="660"/>
        <w:rPr>
          <w:rFonts w:hint="default" w:eastAsia="Times New Roman"/>
          <w:b/>
          <w:sz w:val="32"/>
        </w:rPr>
      </w:pPr>
      <w:r>
        <w:rPr>
          <w:rFonts w:hint="eastAsia" w:ascii="楷体_GB2312" w:hAnsi="楷体_GB2312" w:eastAsia="楷体_GB2312"/>
          <w:b/>
          <w:sz w:val="32"/>
        </w:rPr>
        <w:t>（三）年末结转和结余18882.44万元</w:t>
      </w:r>
    </w:p>
    <w:p>
      <w:pPr>
        <w:widowControl w:val="0"/>
        <w:autoSpaceDE w:val="0"/>
        <w:autoSpaceDN w:val="0"/>
        <w:spacing w:beforeLines="0" w:afterLines="0" w:line="540" w:lineRule="exact"/>
        <w:ind w:firstLine="660"/>
        <w:rPr>
          <w:rFonts w:hint="default" w:ascii="仿宋_GB2312" w:hAnsi="仿宋_GB2312" w:eastAsia="仿宋_GB2312"/>
          <w:sz w:val="32"/>
        </w:rPr>
      </w:pPr>
      <w:r>
        <w:rPr>
          <w:rFonts w:hint="eastAsia" w:ascii="仿宋_GB2312" w:hAnsi="仿宋_GB2312" w:eastAsia="仿宋_GB2312"/>
          <w:sz w:val="32"/>
        </w:rPr>
        <w:t>主要是</w:t>
      </w:r>
      <w:r>
        <w:rPr>
          <w:rFonts w:hint="eastAsia" w:ascii="仿宋" w:hAnsi="仿宋" w:eastAsia="仿宋"/>
          <w:sz w:val="32"/>
        </w:rPr>
        <w:t>年度指标冻结，工程款未做支出</w:t>
      </w:r>
      <w:r>
        <w:rPr>
          <w:rFonts w:hint="eastAsia" w:ascii="仿宋_GB2312" w:hAnsi="仿宋_GB2312" w:eastAsia="仿宋_GB2312"/>
          <w:sz w:val="32"/>
        </w:rPr>
        <w:t>等原因形成的结余。</w:t>
      </w:r>
    </w:p>
    <w:p>
      <w:pPr>
        <w:spacing w:beforeLines="0" w:afterLines="0" w:line="540" w:lineRule="exact"/>
        <w:ind w:firstLine="660"/>
        <w:rPr>
          <w:rFonts w:hint="default" w:ascii="仿宋_GB2312" w:hAnsi="仿宋_GB2312" w:eastAsia="仿宋"/>
          <w:sz w:val="32"/>
        </w:rPr>
      </w:pPr>
      <w:r>
        <w:rPr>
          <w:rFonts w:hint="eastAsia" w:ascii="仿宋_GB2312" w:hAnsi="宋体" w:eastAsia="仿宋_GB2312"/>
          <w:sz w:val="32"/>
        </w:rPr>
        <w:t>与上年相比，今年增加18882.44万元，提高100%，主要原因：</w:t>
      </w:r>
      <w:r>
        <w:rPr>
          <w:rFonts w:hint="eastAsia" w:ascii="仿宋" w:hAnsi="仿宋" w:eastAsia="仿宋"/>
          <w:sz w:val="32"/>
        </w:rPr>
        <w:t>年度指标冻结，工程款未做支出。</w:t>
      </w:r>
    </w:p>
    <w:p>
      <w:pPr>
        <w:widowControl w:val="0"/>
        <w:autoSpaceDE w:val="0"/>
        <w:autoSpaceDN w:val="0"/>
        <w:spacing w:beforeLines="0" w:afterLines="0" w:line="540" w:lineRule="exact"/>
        <w:ind w:firstLine="660"/>
        <w:rPr>
          <w:rFonts w:hint="default" w:eastAsia="Times New Roman"/>
          <w:sz w:val="32"/>
        </w:rPr>
      </w:pPr>
      <w:r>
        <w:rPr>
          <w:rFonts w:hint="eastAsia" w:ascii="黑体" w:hAnsi="黑体" w:eastAsia="黑体"/>
          <w:sz w:val="32"/>
        </w:rPr>
        <w:t>二、财政拨款支出决算情况</w:t>
      </w:r>
    </w:p>
    <w:p>
      <w:pPr>
        <w:widowControl w:val="0"/>
        <w:autoSpaceDE w:val="0"/>
        <w:autoSpaceDN w:val="0"/>
        <w:spacing w:beforeLines="0" w:afterLines="0" w:line="540" w:lineRule="exact"/>
        <w:ind w:firstLine="660"/>
        <w:rPr>
          <w:rFonts w:hint="default" w:eastAsia="Times New Roman"/>
          <w:b/>
          <w:sz w:val="32"/>
        </w:rPr>
      </w:pPr>
      <w:r>
        <w:rPr>
          <w:rFonts w:hint="eastAsia" w:ascii="楷体_GB2312" w:hAnsi="楷体_GB2312" w:eastAsia="楷体_GB2312"/>
          <w:b/>
          <w:sz w:val="32"/>
        </w:rPr>
        <w:t>（一）总体情况</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财政拨款支出决算反映明山区城建局2018年整体财政拨款支出情况，既包括使用当年财政拨款发生的支出，也包括使用以前年度财政拨款结转和结余资金发生的支出。2018年度财政拨款支出2066.33万元，其中：基本支出105.58万元，项目支出1960.75万元。</w:t>
      </w:r>
    </w:p>
    <w:p>
      <w:pPr>
        <w:widowControl w:val="0"/>
        <w:autoSpaceDE w:val="0"/>
        <w:autoSpaceDN w:val="0"/>
        <w:spacing w:beforeLines="0" w:afterLines="0" w:line="540" w:lineRule="exact"/>
        <w:ind w:firstLine="660"/>
        <w:rPr>
          <w:rFonts w:hint="default" w:eastAsia="Times New Roman"/>
          <w:b/>
          <w:sz w:val="32"/>
        </w:rPr>
      </w:pPr>
      <w:r>
        <w:rPr>
          <w:rFonts w:hint="eastAsia" w:ascii="楷体_GB2312" w:hAnsi="楷体_GB2312" w:eastAsia="楷体_GB2312"/>
          <w:b/>
          <w:sz w:val="32"/>
        </w:rPr>
        <w:t>（二）具体情况</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2018年度财政拨款支出2066.33万元，按支出功能分类科目分，包括一般公共服务支出</w:t>
      </w:r>
      <w:r>
        <w:rPr>
          <w:rFonts w:hint="default" w:ascii="仿宋_GB2312" w:hAnsi="仿宋_GB2312" w:eastAsia="仿宋_GB2312"/>
          <w:sz w:val="32"/>
        </w:rPr>
        <w:t>0</w:t>
      </w:r>
      <w:r>
        <w:rPr>
          <w:rFonts w:hint="eastAsia" w:ascii="仿宋_GB2312" w:hAnsi="仿宋_GB2312" w:eastAsia="仿宋_GB2312"/>
          <w:sz w:val="32"/>
        </w:rPr>
        <w:t>万元，科学技术支出</w:t>
      </w:r>
      <w:r>
        <w:rPr>
          <w:rFonts w:hint="default" w:ascii="仿宋_GB2312" w:hAnsi="仿宋_GB2312" w:eastAsia="仿宋_GB2312"/>
          <w:sz w:val="32"/>
        </w:rPr>
        <w:t>0</w:t>
      </w:r>
      <w:r>
        <w:rPr>
          <w:rFonts w:hint="eastAsia" w:ascii="仿宋_GB2312" w:hAnsi="仿宋_GB2312" w:eastAsia="仿宋_GB2312"/>
          <w:sz w:val="32"/>
        </w:rPr>
        <w:t>万元，社会保障和就业支出257.66万元，城乡社区支出361.49万元，农林水支出10万元，住房保障支出1437.18万元。</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1.一般公共服务支出</w:t>
      </w:r>
      <w:r>
        <w:rPr>
          <w:rFonts w:hint="default" w:ascii="仿宋_GB2312" w:hAnsi="仿宋_GB2312" w:eastAsia="仿宋_GB2312"/>
          <w:sz w:val="32"/>
        </w:rPr>
        <w:t>0</w:t>
      </w:r>
      <w:r>
        <w:rPr>
          <w:rFonts w:hint="eastAsia" w:ascii="仿宋_GB2312" w:hAnsi="仿宋_GB2312" w:eastAsia="仿宋_GB2312"/>
          <w:sz w:val="32"/>
        </w:rPr>
        <w:t>万元，包括：</w:t>
      </w:r>
    </w:p>
    <w:p>
      <w:pPr>
        <w:widowControl w:val="0"/>
        <w:autoSpaceDE w:val="0"/>
        <w:autoSpaceDN w:val="0"/>
        <w:spacing w:beforeLines="0" w:afterLines="0" w:line="540" w:lineRule="exact"/>
        <w:ind w:firstLine="660"/>
        <w:rPr>
          <w:rFonts w:hint="default" w:eastAsia="Times New Roman"/>
          <w:sz w:val="32"/>
        </w:rPr>
      </w:pPr>
      <w:r>
        <w:rPr>
          <w:rFonts w:hint="eastAsia" w:ascii="仿宋_GB2312" w:hAnsi="仿宋_GB2312" w:eastAsia="仿宋_GB2312"/>
          <w:sz w:val="32"/>
        </w:rPr>
        <w:t>（1）行政运行</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60"/>
        <w:rPr>
          <w:rFonts w:hint="default" w:eastAsia="仿宋_GB2312"/>
          <w:sz w:val="32"/>
        </w:rPr>
      </w:pPr>
      <w:r>
        <w:rPr>
          <w:rFonts w:hint="eastAsia" w:ascii="仿宋_GB2312" w:hAnsi="仿宋_GB2312" w:eastAsia="仿宋_GB2312"/>
          <w:sz w:val="32"/>
        </w:rPr>
        <w:t>2.科学技术支出</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3.社会保障和就业支出257.66万元，包括：</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（1）基层政权和社区建设257.66万元。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4.城乡社区支出361.49万元，包括：</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（1）行政运行99.40万元。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（2）其他城乡社区管理事务支出64.25万元。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（3）城乡社区环境卫生197.84万元。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5.农林水支出10万元，包括：</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（1）防汛支出10万元。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6.住房保障支出1437.18万元，包括：</w:t>
      </w:r>
    </w:p>
    <w:p>
      <w:pPr>
        <w:widowControl w:val="0"/>
        <w:autoSpaceDE w:val="0"/>
        <w:autoSpaceDN w:val="0"/>
        <w:spacing w:beforeLines="0" w:afterLines="0" w:line="540" w:lineRule="exact"/>
        <w:ind w:firstLine="640" w:firstLineChars="200"/>
        <w:rPr>
          <w:rFonts w:hint="default" w:ascii="仿宋" w:hAnsi="仿宋" w:eastAsia="仿宋"/>
          <w:sz w:val="32"/>
        </w:rPr>
      </w:pPr>
      <w:r>
        <w:rPr>
          <w:rFonts w:hint="eastAsia" w:ascii="仿宋" w:hAnsi="仿宋" w:eastAsia="仿宋"/>
          <w:sz w:val="32"/>
        </w:rPr>
        <w:t xml:space="preserve"> （1）棚户区改造1400万元。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 xml:space="preserve"> （2）农村危房改造31万元。</w:t>
      </w:r>
    </w:p>
    <w:p>
      <w:pPr>
        <w:widowControl w:val="0"/>
        <w:autoSpaceDE w:val="0"/>
        <w:autoSpaceDN w:val="0"/>
        <w:spacing w:beforeLines="0" w:afterLines="0" w:line="540" w:lineRule="exact"/>
        <w:ind w:firstLine="640"/>
        <w:rPr>
          <w:rFonts w:hint="default" w:ascii="仿宋" w:hAnsi="仿宋" w:eastAsia="仿宋"/>
          <w:sz w:val="32"/>
        </w:rPr>
      </w:pPr>
      <w:r>
        <w:rPr>
          <w:rFonts w:hint="eastAsia" w:ascii="仿宋" w:hAnsi="仿宋" w:eastAsia="仿宋"/>
          <w:sz w:val="32"/>
        </w:rPr>
        <w:t xml:space="preserve"> （3）住房公积金6.18万元。</w:t>
      </w:r>
    </w:p>
    <w:p>
      <w:pPr>
        <w:widowControl w:val="0"/>
        <w:autoSpaceDE w:val="0"/>
        <w:autoSpaceDN w:val="0"/>
        <w:spacing w:beforeLines="0" w:afterLines="0" w:line="540" w:lineRule="exact"/>
        <w:ind w:firstLine="660"/>
        <w:rPr>
          <w:rFonts w:hint="default" w:eastAsia="Times New Roman"/>
          <w:sz w:val="32"/>
        </w:rPr>
      </w:pPr>
      <w:r>
        <w:rPr>
          <w:rFonts w:hint="eastAsia" w:ascii="黑体" w:hAnsi="黑体" w:eastAsia="黑体"/>
          <w:sz w:val="32"/>
        </w:rPr>
        <w:t>三、一般公共预算财政拨款</w:t>
      </w:r>
      <w:r>
        <w:rPr>
          <w:rFonts w:hint="default" w:eastAsia="Times New Roman"/>
          <w:sz w:val="32"/>
        </w:rPr>
        <w:t>“</w:t>
      </w:r>
      <w:r>
        <w:rPr>
          <w:rFonts w:hint="eastAsia" w:ascii="黑体" w:hAnsi="黑体" w:eastAsia="黑体"/>
          <w:sz w:val="32"/>
        </w:rPr>
        <w:t>三公</w:t>
      </w:r>
      <w:r>
        <w:rPr>
          <w:rFonts w:hint="default" w:eastAsia="Times New Roman"/>
          <w:sz w:val="32"/>
        </w:rPr>
        <w:t>”</w:t>
      </w:r>
      <w:r>
        <w:rPr>
          <w:rFonts w:hint="eastAsia" w:ascii="黑体" w:hAnsi="黑体" w:eastAsia="黑体"/>
          <w:sz w:val="32"/>
        </w:rPr>
        <w:t>经费支出决算情况</w:t>
      </w:r>
    </w:p>
    <w:p>
      <w:pPr>
        <w:widowControl w:val="0"/>
        <w:autoSpaceDE w:val="0"/>
        <w:autoSpaceDN w:val="0"/>
        <w:spacing w:beforeLines="0" w:afterLines="0" w:line="540" w:lineRule="exact"/>
        <w:ind w:firstLine="645"/>
        <w:rPr>
          <w:rFonts w:hint="default" w:eastAsia="Times New Roman"/>
          <w:sz w:val="32"/>
        </w:rPr>
      </w:pPr>
      <w:r>
        <w:rPr>
          <w:rFonts w:hint="eastAsia" w:ascii="仿宋_GB2312" w:hAnsi="仿宋_GB2312" w:eastAsia="仿宋_GB2312"/>
          <w:sz w:val="32"/>
        </w:rPr>
        <w:t>2018年度一般公共预算财政拨款安排的</w:t>
      </w:r>
      <w:r>
        <w:rPr>
          <w:rFonts w:hint="default" w:eastAsia="Times New Roman"/>
          <w:sz w:val="32"/>
        </w:rPr>
        <w:t>“</w:t>
      </w:r>
      <w:r>
        <w:rPr>
          <w:rFonts w:hint="eastAsia" w:ascii="仿宋_GB2312" w:hAnsi="仿宋_GB2312" w:eastAsia="仿宋_GB2312"/>
          <w:sz w:val="32"/>
        </w:rPr>
        <w:t>三公</w:t>
      </w:r>
      <w:r>
        <w:rPr>
          <w:rFonts w:hint="default" w:eastAsia="Times New Roman"/>
          <w:sz w:val="32"/>
        </w:rPr>
        <w:t>”</w:t>
      </w:r>
      <w:r>
        <w:rPr>
          <w:rFonts w:hint="eastAsia" w:ascii="仿宋_GB2312" w:hAnsi="仿宋_GB2312" w:eastAsia="仿宋_GB2312"/>
          <w:sz w:val="32"/>
        </w:rPr>
        <w:t>经费支出3.3万元，其中：因公出国（境）费</w:t>
      </w:r>
      <w:r>
        <w:rPr>
          <w:rFonts w:hint="default" w:ascii="仿宋_GB2312" w:hAnsi="仿宋_GB2312" w:eastAsia="仿宋_GB2312"/>
          <w:sz w:val="32"/>
        </w:rPr>
        <w:t>0</w:t>
      </w:r>
      <w:r>
        <w:rPr>
          <w:rFonts w:hint="eastAsia" w:ascii="仿宋_GB2312" w:hAnsi="仿宋_GB2312" w:eastAsia="仿宋_GB2312"/>
          <w:sz w:val="32"/>
        </w:rPr>
        <w:t>万元，公务接待费</w:t>
      </w:r>
      <w:r>
        <w:rPr>
          <w:rFonts w:hint="default" w:ascii="仿宋_GB2312" w:hAnsi="仿宋_GB2312" w:eastAsia="仿宋_GB2312"/>
          <w:sz w:val="32"/>
        </w:rPr>
        <w:t>0</w:t>
      </w:r>
      <w:r>
        <w:rPr>
          <w:rFonts w:hint="eastAsia" w:ascii="仿宋_GB2312" w:hAnsi="仿宋_GB2312" w:eastAsia="仿宋_GB2312"/>
          <w:sz w:val="32"/>
        </w:rPr>
        <w:t>万元，公务用车购置及运行维护费3.3万元。2018年度</w:t>
      </w:r>
      <w:r>
        <w:rPr>
          <w:rFonts w:hint="default" w:eastAsia="Times New Roman"/>
          <w:sz w:val="32"/>
        </w:rPr>
        <w:t>“</w:t>
      </w:r>
      <w:r>
        <w:rPr>
          <w:rFonts w:hint="eastAsia" w:ascii="仿宋_GB2312" w:hAnsi="仿宋_GB2312" w:eastAsia="仿宋_GB2312"/>
          <w:sz w:val="32"/>
        </w:rPr>
        <w:t>三公</w:t>
      </w:r>
      <w:r>
        <w:rPr>
          <w:rFonts w:hint="default" w:eastAsia="Times New Roman"/>
          <w:sz w:val="32"/>
        </w:rPr>
        <w:t>”</w:t>
      </w:r>
      <w:r>
        <w:rPr>
          <w:rFonts w:hint="eastAsia" w:ascii="仿宋_GB2312" w:hAnsi="仿宋_GB2312" w:eastAsia="仿宋_GB2312"/>
          <w:sz w:val="32"/>
        </w:rPr>
        <w:t>经费支出比2017年增加3.3万元，增长100%，主要是公务用车运行维护费增加等原因。</w:t>
      </w:r>
    </w:p>
    <w:p>
      <w:pPr>
        <w:widowControl w:val="0"/>
        <w:autoSpaceDE w:val="0"/>
        <w:autoSpaceDN w:val="0"/>
        <w:spacing w:beforeLines="0" w:afterLines="0" w:line="540" w:lineRule="exact"/>
        <w:ind w:firstLine="645"/>
        <w:rPr>
          <w:rFonts w:hint="default" w:eastAsia="Times New Roman"/>
          <w:sz w:val="32"/>
        </w:rPr>
      </w:pPr>
      <w:r>
        <w:rPr>
          <w:rFonts w:hint="eastAsia" w:ascii="仿宋_GB2312" w:hAnsi="仿宋_GB2312" w:eastAsia="仿宋_GB2312"/>
          <w:sz w:val="32"/>
        </w:rPr>
        <w:t>1.因公出国（境）费</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45"/>
        <w:rPr>
          <w:rFonts w:hint="default" w:eastAsia="Times New Roman"/>
          <w:sz w:val="32"/>
        </w:rPr>
      </w:pPr>
      <w:r>
        <w:rPr>
          <w:rFonts w:hint="eastAsia" w:ascii="仿宋_GB2312" w:hAnsi="仿宋_GB2312" w:eastAsia="仿宋_GB2312"/>
          <w:sz w:val="32"/>
        </w:rPr>
        <w:t>2.公务接待费</w:t>
      </w:r>
      <w:r>
        <w:rPr>
          <w:rFonts w:hint="default" w:ascii="仿宋_GB2312" w:hAnsi="仿宋_GB2312" w:eastAsia="仿宋_GB2312"/>
          <w:sz w:val="32"/>
        </w:rPr>
        <w:t>0</w:t>
      </w:r>
      <w:r>
        <w:rPr>
          <w:rFonts w:hint="eastAsia" w:ascii="仿宋_GB2312" w:hAnsi="仿宋_GB2312" w:eastAsia="仿宋_GB2312"/>
          <w:sz w:val="32"/>
        </w:rPr>
        <w:t>万元。</w:t>
      </w:r>
    </w:p>
    <w:p>
      <w:pPr>
        <w:widowControl w:val="0"/>
        <w:autoSpaceDE w:val="0"/>
        <w:autoSpaceDN w:val="0"/>
        <w:spacing w:beforeLines="0" w:afterLines="0" w:line="540" w:lineRule="exact"/>
        <w:ind w:firstLine="645"/>
        <w:rPr>
          <w:rFonts w:hint="default" w:eastAsia="Times New Roman"/>
          <w:sz w:val="32"/>
        </w:rPr>
      </w:pPr>
      <w:r>
        <w:rPr>
          <w:rFonts w:hint="eastAsia" w:ascii="仿宋_GB2312" w:hAnsi="仿宋_GB2312" w:eastAsia="仿宋_GB2312"/>
          <w:sz w:val="32"/>
        </w:rPr>
        <w:t>3.公务用车购置及运行维护费3.3万元，其中：公务用车购置费</w:t>
      </w:r>
      <w:r>
        <w:rPr>
          <w:rFonts w:hint="default" w:ascii="仿宋_GB2312" w:hAnsi="仿宋_GB2312" w:eastAsia="仿宋_GB2312"/>
          <w:sz w:val="32"/>
        </w:rPr>
        <w:t>0</w:t>
      </w:r>
      <w:r>
        <w:rPr>
          <w:rFonts w:hint="eastAsia" w:ascii="仿宋_GB2312" w:hAnsi="仿宋_GB2312" w:eastAsia="仿宋_GB2312"/>
          <w:sz w:val="32"/>
        </w:rPr>
        <w:t>万元，公务用车运行维护费3.3万元。2018年购置公务用车</w:t>
      </w:r>
      <w:r>
        <w:rPr>
          <w:rFonts w:hint="default" w:ascii="仿宋_GB2312" w:hAnsi="仿宋_GB2312" w:eastAsia="仿宋_GB2312"/>
          <w:sz w:val="32"/>
        </w:rPr>
        <w:t>0</w:t>
      </w:r>
      <w:r>
        <w:rPr>
          <w:rFonts w:hint="eastAsia" w:ascii="仿宋_GB2312" w:hAnsi="仿宋_GB2312" w:eastAsia="仿宋_GB2312"/>
          <w:sz w:val="32"/>
        </w:rPr>
        <w:t>辆，年末公务用车保有量14辆。</w:t>
      </w:r>
    </w:p>
    <w:p>
      <w:pPr>
        <w:widowControl w:val="0"/>
        <w:autoSpaceDE w:val="0"/>
        <w:autoSpaceDN w:val="0"/>
        <w:spacing w:beforeLines="0" w:afterLines="0" w:line="540" w:lineRule="exact"/>
        <w:ind w:firstLine="640"/>
        <w:rPr>
          <w:rFonts w:hint="default" w:eastAsia="Times New Roman"/>
          <w:sz w:val="32"/>
        </w:rPr>
      </w:pPr>
      <w:r>
        <w:rPr>
          <w:rFonts w:hint="eastAsia" w:ascii="黑体" w:hAnsi="黑体" w:eastAsia="黑体"/>
          <w:sz w:val="32"/>
        </w:rPr>
        <w:t>四、其他重要事项的情况说明</w:t>
      </w:r>
    </w:p>
    <w:p>
      <w:pPr>
        <w:widowControl w:val="0"/>
        <w:autoSpaceDE w:val="0"/>
        <w:autoSpaceDN w:val="0"/>
        <w:spacing w:beforeLines="0" w:afterLines="0" w:line="540" w:lineRule="exact"/>
        <w:ind w:firstLine="640"/>
        <w:rPr>
          <w:rFonts w:hint="default" w:eastAsia="Times New Roman"/>
          <w:b/>
          <w:sz w:val="32"/>
        </w:rPr>
      </w:pPr>
      <w:r>
        <w:rPr>
          <w:rFonts w:hint="eastAsia" w:ascii="楷体_GB2312" w:hAnsi="楷体_GB2312" w:eastAsia="楷体_GB2312"/>
          <w:b/>
          <w:sz w:val="32"/>
        </w:rPr>
        <w:t>（一）机关运行经费支出情况</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sz w:val="32"/>
        </w:rPr>
        <w:t>2018年明山区城建局机关运行经费支出99.40万元，比2017年增加19.64万元，增长19.76%，主要原因是人员经费增加。</w:t>
      </w:r>
    </w:p>
    <w:p>
      <w:pPr>
        <w:widowControl w:val="0"/>
        <w:autoSpaceDE w:val="0"/>
        <w:autoSpaceDN w:val="0"/>
        <w:spacing w:beforeLines="0" w:afterLines="0" w:line="540" w:lineRule="exact"/>
        <w:ind w:firstLine="640"/>
        <w:rPr>
          <w:rFonts w:hint="default" w:eastAsia="Times New Roman"/>
          <w:b/>
          <w:sz w:val="32"/>
        </w:rPr>
      </w:pPr>
      <w:r>
        <w:rPr>
          <w:rFonts w:hint="eastAsia" w:ascii="楷体_GB2312" w:hAnsi="楷体_GB2312" w:eastAsia="楷体_GB2312"/>
          <w:b/>
          <w:sz w:val="32"/>
        </w:rPr>
        <w:t>（二）政府采购支出情况</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sz w:val="32"/>
        </w:rPr>
        <w:t>2018年明山区城建局政府采购支出总额</w:t>
      </w:r>
      <w:r>
        <w:rPr>
          <w:rFonts w:hint="default" w:ascii="仿宋_GB2312" w:hAnsi="仿宋_GB2312" w:eastAsia="仿宋_GB2312"/>
          <w:sz w:val="32"/>
        </w:rPr>
        <w:t>0</w:t>
      </w:r>
      <w:r>
        <w:rPr>
          <w:rFonts w:hint="eastAsia" w:ascii="仿宋_GB2312" w:hAnsi="仿宋_GB2312" w:eastAsia="仿宋_GB2312"/>
          <w:sz w:val="32"/>
        </w:rPr>
        <w:t>万元，其中：政府采购货物支出</w:t>
      </w:r>
      <w:r>
        <w:rPr>
          <w:rFonts w:hint="default" w:ascii="仿宋_GB2312" w:hAnsi="仿宋_GB2312" w:eastAsia="仿宋_GB2312"/>
          <w:sz w:val="32"/>
        </w:rPr>
        <w:t>0</w:t>
      </w:r>
      <w:r>
        <w:rPr>
          <w:rFonts w:hint="eastAsia" w:ascii="仿宋_GB2312" w:hAnsi="仿宋_GB2312" w:eastAsia="仿宋_GB2312"/>
          <w:sz w:val="32"/>
        </w:rPr>
        <w:t>万元，政府采购工程支出</w:t>
      </w:r>
      <w:r>
        <w:rPr>
          <w:rFonts w:hint="default" w:ascii="仿宋_GB2312" w:hAnsi="仿宋_GB2312" w:eastAsia="仿宋_GB2312"/>
          <w:sz w:val="32"/>
        </w:rPr>
        <w:t>0</w:t>
      </w:r>
      <w:r>
        <w:rPr>
          <w:rFonts w:hint="eastAsia" w:ascii="仿宋_GB2312" w:hAnsi="仿宋_GB2312" w:eastAsia="仿宋_GB2312"/>
          <w:sz w:val="32"/>
        </w:rPr>
        <w:t>万元，政府采购服务支出</w:t>
      </w:r>
      <w:r>
        <w:rPr>
          <w:rFonts w:hint="default" w:ascii="仿宋_GB2312" w:hAnsi="仿宋_GB2312" w:eastAsia="仿宋_GB2312"/>
          <w:sz w:val="32"/>
        </w:rPr>
        <w:t>0</w:t>
      </w:r>
      <w:r>
        <w:rPr>
          <w:rFonts w:hint="eastAsia" w:ascii="仿宋_GB2312" w:hAnsi="仿宋_GB2312" w:eastAsia="仿宋_GB2312"/>
          <w:sz w:val="32"/>
        </w:rPr>
        <w:t>万元。授予中小企业合同金额</w:t>
      </w:r>
      <w:r>
        <w:rPr>
          <w:rFonts w:hint="default" w:ascii="仿宋_GB2312" w:hAnsi="仿宋_GB2312" w:eastAsia="仿宋_GB2312"/>
          <w:sz w:val="32"/>
        </w:rPr>
        <w:t>0</w:t>
      </w:r>
      <w:r>
        <w:rPr>
          <w:rFonts w:hint="eastAsia" w:ascii="仿宋_GB2312" w:hAnsi="仿宋_GB2312" w:eastAsia="仿宋_GB2312"/>
          <w:sz w:val="32"/>
        </w:rPr>
        <w:t>万元，占政府采购支出总额的0%，其中：授予小微企业合同金额</w:t>
      </w:r>
      <w:r>
        <w:rPr>
          <w:rFonts w:hint="default" w:ascii="仿宋_GB2312" w:hAnsi="仿宋_GB2312" w:eastAsia="仿宋_GB2312"/>
          <w:sz w:val="32"/>
        </w:rPr>
        <w:t>0</w:t>
      </w:r>
      <w:r>
        <w:rPr>
          <w:rFonts w:hint="eastAsia" w:ascii="仿宋_GB2312" w:hAnsi="仿宋_GB2312" w:eastAsia="仿宋_GB2312"/>
          <w:sz w:val="32"/>
        </w:rPr>
        <w:t>万元，占政府采购支出总额的0%。</w:t>
      </w:r>
    </w:p>
    <w:p>
      <w:pPr>
        <w:widowControl w:val="0"/>
        <w:autoSpaceDE w:val="0"/>
        <w:autoSpaceDN w:val="0"/>
        <w:spacing w:beforeLines="0" w:afterLines="0" w:line="540" w:lineRule="exact"/>
        <w:ind w:firstLine="640"/>
        <w:rPr>
          <w:rFonts w:hint="default" w:ascii="仿宋_GB2312" w:hAnsi="仿宋_GB2312" w:eastAsia="仿宋_GB2312"/>
          <w:sz w:val="32"/>
        </w:rPr>
      </w:pPr>
    </w:p>
    <w:p>
      <w:pPr>
        <w:widowControl w:val="0"/>
        <w:autoSpaceDE w:val="0"/>
        <w:autoSpaceDN w:val="0"/>
        <w:spacing w:beforeLines="0" w:afterLines="0" w:line="540" w:lineRule="exact"/>
        <w:ind w:firstLine="640"/>
        <w:rPr>
          <w:rFonts w:hint="default" w:eastAsia="Times New Roman"/>
          <w:b/>
          <w:sz w:val="32"/>
        </w:rPr>
      </w:pPr>
      <w:r>
        <w:rPr>
          <w:rFonts w:hint="eastAsia" w:ascii="楷体_GB2312" w:hAnsi="楷体_GB2312" w:eastAsia="楷体_GB2312"/>
          <w:b/>
          <w:sz w:val="32"/>
        </w:rPr>
        <w:t>（三）国有资产占用情况</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sz w:val="32"/>
        </w:rPr>
        <w:t>截至2018年12月31日，明山区城建局共有车辆14辆，其中：副省级以上领导干部用车</w:t>
      </w:r>
      <w:r>
        <w:rPr>
          <w:rFonts w:hint="default" w:ascii="仿宋_GB2312" w:hAnsi="仿宋_GB2312" w:eastAsia="仿宋_GB2312"/>
          <w:sz w:val="32"/>
        </w:rPr>
        <w:t>0</w:t>
      </w:r>
      <w:r>
        <w:rPr>
          <w:rFonts w:hint="eastAsia" w:ascii="仿宋_GB2312" w:hAnsi="仿宋_GB2312" w:eastAsia="仿宋_GB2312"/>
          <w:sz w:val="32"/>
        </w:rPr>
        <w:t>辆，一般公务用车</w:t>
      </w:r>
      <w:r>
        <w:rPr>
          <w:rFonts w:hint="default" w:ascii="仿宋_GB2312" w:hAnsi="仿宋_GB2312" w:eastAsia="仿宋_GB2312"/>
          <w:sz w:val="32"/>
        </w:rPr>
        <w:t>0</w:t>
      </w:r>
      <w:r>
        <w:rPr>
          <w:rFonts w:hint="eastAsia" w:ascii="仿宋_GB2312" w:hAnsi="仿宋_GB2312" w:eastAsia="仿宋_GB2312"/>
          <w:sz w:val="32"/>
        </w:rPr>
        <w:t>辆，一般执法执勤用车1辆，特种专业技术用车</w:t>
      </w:r>
      <w:r>
        <w:rPr>
          <w:rFonts w:hint="default" w:ascii="仿宋_GB2312" w:hAnsi="仿宋_GB2312" w:eastAsia="仿宋_GB2312"/>
          <w:sz w:val="32"/>
        </w:rPr>
        <w:t>0</w:t>
      </w:r>
      <w:r>
        <w:rPr>
          <w:rFonts w:hint="eastAsia" w:ascii="仿宋_GB2312" w:hAnsi="仿宋_GB2312" w:eastAsia="仿宋_GB2312"/>
          <w:sz w:val="32"/>
        </w:rPr>
        <w:t>辆，其他用车13辆；单位价值200万元以上大型设备</w:t>
      </w:r>
      <w:r>
        <w:rPr>
          <w:rFonts w:hint="default" w:ascii="仿宋_GB2312" w:hAnsi="仿宋_GB2312" w:eastAsia="仿宋_GB2312"/>
          <w:sz w:val="32"/>
        </w:rPr>
        <w:t>0</w:t>
      </w:r>
      <w:r>
        <w:rPr>
          <w:rFonts w:hint="eastAsia" w:ascii="仿宋_GB2312" w:hAnsi="仿宋_GB2312" w:eastAsia="仿宋_GB2312"/>
          <w:sz w:val="32"/>
        </w:rPr>
        <w:t>台（套）。</w:t>
      </w:r>
    </w:p>
    <w:p>
      <w:pPr>
        <w:widowControl w:val="0"/>
        <w:autoSpaceDE w:val="0"/>
        <w:autoSpaceDN w:val="0"/>
        <w:spacing w:beforeLines="0" w:afterLines="0" w:line="540" w:lineRule="exact"/>
        <w:ind w:firstLine="720"/>
        <w:rPr>
          <w:rFonts w:hint="default" w:eastAsia="Times New Roman"/>
          <w:b/>
          <w:sz w:val="32"/>
        </w:rPr>
      </w:pPr>
      <w:r>
        <w:rPr>
          <w:rFonts w:hint="eastAsia" w:ascii="楷体_GB2312" w:hAnsi="楷体_GB2312" w:eastAsia="楷体_GB2312"/>
          <w:b/>
          <w:sz w:val="32"/>
        </w:rPr>
        <w:t>（四）预算绩效管理工作开展情况</w:t>
      </w:r>
    </w:p>
    <w:p>
      <w:pPr>
        <w:widowControl w:val="0"/>
        <w:autoSpaceDE w:val="0"/>
        <w:autoSpaceDN w:val="0"/>
        <w:spacing w:beforeLines="0" w:afterLines="0"/>
        <w:ind w:firstLine="640"/>
        <w:rPr>
          <w:rFonts w:hint="default" w:ascii="仿宋_GB2312" w:hAnsi="仿宋_GB2312" w:eastAsia="仿宋_GB2312"/>
          <w:sz w:val="32"/>
        </w:rPr>
      </w:pPr>
      <w:r>
        <w:rPr>
          <w:rFonts w:hint="eastAsia" w:ascii="仿宋_GB2312" w:hAnsi="仿宋_GB2312" w:eastAsia="仿宋_GB2312"/>
          <w:sz w:val="32"/>
        </w:rPr>
        <w:t xml:space="preserve">    根据财政预算管理要求，对2018年度预算项目支出全面开展绩效自评，共涉及预算支出项目</w:t>
      </w:r>
      <w:r>
        <w:rPr>
          <w:rFonts w:hint="default" w:ascii="仿宋_GB2312" w:hAnsi="仿宋_GB2312" w:eastAsia="仿宋_GB2312"/>
          <w:sz w:val="32"/>
        </w:rPr>
        <w:t>0</w:t>
      </w:r>
      <w:r>
        <w:rPr>
          <w:rFonts w:hint="eastAsia" w:ascii="仿宋_GB2312" w:hAnsi="仿宋_GB2312" w:eastAsia="仿宋_GB2312"/>
          <w:sz w:val="32"/>
        </w:rPr>
        <w:t>个，涉及资金</w:t>
      </w:r>
      <w:r>
        <w:rPr>
          <w:rFonts w:hint="default" w:ascii="仿宋_GB2312" w:hAnsi="仿宋_GB2312" w:eastAsia="仿宋_GB2312"/>
          <w:sz w:val="32"/>
        </w:rPr>
        <w:t>0</w:t>
      </w:r>
      <w:r>
        <w:rPr>
          <w:rFonts w:hint="eastAsia" w:ascii="仿宋_GB2312" w:hAnsi="仿宋_GB2312" w:eastAsia="仿宋_GB2312"/>
          <w:sz w:val="32"/>
        </w:rPr>
        <w:t>万元，自评覆盖率（开展绩效自评的项目数/年初批复绩效目标的项目数）达到100%，自评平均分（开展绩效自评的项目分数总和/开展绩效自评的项目数）100分。（2018年本单位年初批复绩效目标的项目数为</w:t>
      </w:r>
      <w:r>
        <w:rPr>
          <w:rFonts w:hint="default" w:ascii="仿宋_GB2312" w:hAnsi="仿宋_GB2312" w:eastAsia="仿宋_GB2312"/>
          <w:sz w:val="32"/>
        </w:rPr>
        <w:t>0</w:t>
      </w:r>
      <w:r>
        <w:rPr>
          <w:rFonts w:hint="eastAsia" w:ascii="仿宋_GB2312" w:hAnsi="仿宋_GB2312" w:eastAsia="仿宋_GB2312"/>
          <w:sz w:val="32"/>
        </w:rPr>
        <w:t>）</w:t>
      </w:r>
    </w:p>
    <w:p>
      <w:pPr>
        <w:widowControl w:val="0"/>
        <w:autoSpaceDE w:val="0"/>
        <w:autoSpaceDN w:val="0"/>
        <w:spacing w:beforeLines="0" w:afterLines="0"/>
        <w:ind w:firstLine="640"/>
        <w:rPr>
          <w:rFonts w:hint="default" w:ascii="仿宋_GB2312" w:hAnsi="仿宋_GB2312" w:eastAsia="仿宋_GB2312"/>
          <w:sz w:val="32"/>
        </w:rPr>
      </w:pPr>
      <w:r>
        <w:rPr>
          <w:rFonts w:hint="eastAsia" w:ascii="仿宋_GB2312" w:hAnsi="仿宋_GB2312" w:eastAsia="仿宋_GB2312"/>
          <w:sz w:val="32"/>
        </w:rPr>
        <w:t>通过绩效自评发现预算项目管理主要存在以下问题：无。下一步将采取以下措施加以改进：无。</w:t>
      </w:r>
    </w:p>
    <w:p>
      <w:pPr>
        <w:widowControl w:val="0"/>
        <w:autoSpaceDE w:val="0"/>
        <w:autoSpaceDN w:val="0"/>
        <w:spacing w:beforeLines="0" w:afterLines="0"/>
        <w:ind w:firstLine="640"/>
        <w:rPr>
          <w:rFonts w:hint="default" w:ascii="仿宋_GB2312" w:hAnsi="仿宋_GB2312" w:eastAsia="仿宋_GB2312"/>
          <w:sz w:val="32"/>
        </w:rPr>
      </w:pPr>
    </w:p>
    <w:p>
      <w:pPr>
        <w:widowControl w:val="0"/>
        <w:autoSpaceDE w:val="0"/>
        <w:autoSpaceDN w:val="0"/>
        <w:spacing w:beforeLines="0" w:afterLines="0"/>
        <w:ind w:firstLine="640"/>
        <w:rPr>
          <w:rFonts w:hint="default" w:ascii="宋体"/>
          <w:b/>
          <w:sz w:val="36"/>
        </w:rPr>
      </w:pPr>
    </w:p>
    <w:p>
      <w:pPr>
        <w:widowControl w:val="0"/>
        <w:autoSpaceDE w:val="0"/>
        <w:autoSpaceDN w:val="0"/>
        <w:spacing w:beforeLines="0" w:afterLines="0" w:line="540" w:lineRule="exact"/>
        <w:ind w:firstLine="2530" w:firstLineChars="700"/>
        <w:rPr>
          <w:rFonts w:hint="default" w:ascii="宋体"/>
          <w:b/>
          <w:sz w:val="36"/>
        </w:rPr>
      </w:pPr>
    </w:p>
    <w:p>
      <w:pPr>
        <w:widowControl w:val="0"/>
        <w:autoSpaceDE w:val="0"/>
        <w:autoSpaceDN w:val="0"/>
        <w:spacing w:beforeLines="0" w:afterLines="0" w:line="540" w:lineRule="exact"/>
        <w:ind w:firstLine="2530" w:firstLineChars="700"/>
        <w:rPr>
          <w:rFonts w:hint="default" w:eastAsia="Times New Roman"/>
          <w:b/>
          <w:sz w:val="36"/>
        </w:rPr>
      </w:pPr>
      <w:r>
        <w:rPr>
          <w:rFonts w:hint="eastAsia" w:ascii="宋体" w:hAnsi="宋体"/>
          <w:b/>
          <w:sz w:val="36"/>
        </w:rPr>
        <w:t>第四部分    名词解释</w:t>
      </w:r>
    </w:p>
    <w:p>
      <w:pPr>
        <w:widowControl w:val="0"/>
        <w:autoSpaceDE w:val="0"/>
        <w:autoSpaceDN w:val="0"/>
        <w:spacing w:beforeLines="0" w:afterLines="0" w:line="540" w:lineRule="exact"/>
        <w:jc w:val="center"/>
        <w:rPr>
          <w:rFonts w:hint="default" w:eastAsia="Times New Roman"/>
          <w:sz w:val="36"/>
        </w:rPr>
      </w:pP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1.财政拨款收入：</w:t>
      </w:r>
      <w:r>
        <w:rPr>
          <w:rFonts w:hint="eastAsia" w:ascii="仿宋_GB2312" w:hAnsi="仿宋_GB2312" w:eastAsia="仿宋_GB2312"/>
          <w:sz w:val="32"/>
        </w:rPr>
        <w:t>指省级财政当年拨付的资金。</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2.上级补助收入：</w:t>
      </w:r>
      <w:r>
        <w:rPr>
          <w:rFonts w:hint="eastAsia" w:ascii="仿宋_GB2312" w:hAnsi="仿宋_GB2312" w:eastAsia="仿宋_GB2312"/>
          <w:sz w:val="32"/>
        </w:rPr>
        <w:t>指单位从主管部门和上级单位取得的非财政性补助收入。</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3.事业收入：</w:t>
      </w:r>
      <w:r>
        <w:rPr>
          <w:rFonts w:hint="eastAsia" w:ascii="仿宋_GB2312" w:hAnsi="仿宋_GB2312" w:eastAsia="仿宋_GB2312"/>
          <w:sz w:val="32"/>
        </w:rPr>
        <w:t>指事业单位开展专业业务活动及辅助活动所取得的收入。</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4.经营收入：</w:t>
      </w:r>
      <w:r>
        <w:rPr>
          <w:rFonts w:hint="eastAsia" w:ascii="仿宋_GB2312" w:hAnsi="仿宋_GB2312" w:eastAsia="仿宋_GB2312"/>
          <w:sz w:val="32"/>
        </w:rPr>
        <w:t>指事业单位在专业业务活动及辅助活动之外开展非独立核算经营活动取得的收入。</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5.附属单位上缴收入：</w:t>
      </w:r>
      <w:r>
        <w:rPr>
          <w:rFonts w:hint="eastAsia" w:ascii="仿宋_GB2312" w:hAnsi="仿宋_GB2312" w:eastAsia="仿宋_GB2312"/>
          <w:sz w:val="32"/>
        </w:rPr>
        <w:t>指单位附属的独立核算单位按照规定上缴的收入。</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6.其他收入：</w:t>
      </w:r>
      <w:r>
        <w:rPr>
          <w:rFonts w:hint="eastAsia" w:ascii="仿宋_GB2312" w:hAnsi="仿宋_GB2312" w:eastAsia="仿宋_GB2312"/>
          <w:sz w:val="32"/>
        </w:rPr>
        <w:t>指除上述</w:t>
      </w:r>
      <w:r>
        <w:rPr>
          <w:rFonts w:hint="default" w:eastAsia="Times New Roman"/>
          <w:sz w:val="32"/>
        </w:rPr>
        <w:t>“</w:t>
      </w:r>
      <w:r>
        <w:rPr>
          <w:rFonts w:hint="eastAsia" w:ascii="仿宋_GB2312" w:hAnsi="仿宋_GB2312" w:eastAsia="仿宋_GB2312"/>
          <w:sz w:val="32"/>
        </w:rPr>
        <w:t>财政拨款收入</w:t>
      </w:r>
      <w:r>
        <w:rPr>
          <w:rFonts w:hint="default" w:eastAsia="Times New Roman"/>
          <w:sz w:val="32"/>
        </w:rPr>
        <w:t>”</w:t>
      </w:r>
      <w:r>
        <w:rPr>
          <w:rFonts w:hint="eastAsia" w:ascii="仿宋_GB2312" w:hAnsi="仿宋_GB2312" w:eastAsia="仿宋_GB2312"/>
          <w:sz w:val="32"/>
        </w:rPr>
        <w:t>、</w:t>
      </w:r>
      <w:r>
        <w:rPr>
          <w:rFonts w:hint="eastAsia" w:ascii="仿宋_GB2312" w:hAnsi="仿宋_GB2312" w:eastAsia="仿宋_GB2312"/>
          <w:b/>
          <w:sz w:val="32"/>
        </w:rPr>
        <w:t xml:space="preserve"> </w:t>
      </w:r>
      <w:r>
        <w:rPr>
          <w:rFonts w:hint="default" w:eastAsia="Times New Roman"/>
          <w:sz w:val="32"/>
        </w:rPr>
        <w:t>“</w:t>
      </w:r>
      <w:r>
        <w:rPr>
          <w:rFonts w:hint="eastAsia" w:ascii="仿宋_GB2312" w:hAnsi="仿宋_GB2312" w:eastAsia="仿宋_GB2312"/>
          <w:sz w:val="32"/>
        </w:rPr>
        <w:t>上级补助收入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事业收入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经营收入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附属单位上缴收入</w:t>
      </w:r>
      <w:r>
        <w:rPr>
          <w:rFonts w:hint="default" w:eastAsia="Times New Roman"/>
          <w:sz w:val="32"/>
        </w:rPr>
        <w:t>”</w:t>
      </w:r>
      <w:r>
        <w:rPr>
          <w:rFonts w:hint="eastAsia" w:ascii="仿宋_GB2312" w:hAnsi="仿宋_GB2312" w:eastAsia="仿宋_GB2312"/>
          <w:sz w:val="32"/>
        </w:rPr>
        <w:t>等以外的收入。</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7.用事业基金弥补收支差额：</w:t>
      </w:r>
      <w:r>
        <w:rPr>
          <w:rFonts w:hint="eastAsia" w:ascii="仿宋_GB2312" w:hAnsi="仿宋_GB2312" w:eastAsia="仿宋_GB2312"/>
          <w:sz w:val="32"/>
        </w:rPr>
        <w:t>指事业单位在当年的</w:t>
      </w:r>
      <w:r>
        <w:rPr>
          <w:rFonts w:hint="default" w:eastAsia="Times New Roman"/>
          <w:sz w:val="32"/>
        </w:rPr>
        <w:t>“</w:t>
      </w:r>
      <w:r>
        <w:rPr>
          <w:rFonts w:hint="eastAsia" w:ascii="仿宋_GB2312" w:hAnsi="仿宋_GB2312" w:eastAsia="仿宋_GB2312"/>
          <w:sz w:val="32"/>
        </w:rPr>
        <w:t>财政拨款收入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财政拨款结转和结余资金</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上级补助收入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事业收入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经营收入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附属单位上缴收入</w:t>
      </w:r>
      <w:r>
        <w:rPr>
          <w:rFonts w:hint="default" w:eastAsia="Times New Roman"/>
          <w:sz w:val="32"/>
        </w:rPr>
        <w:t>”</w:t>
      </w:r>
      <w:r>
        <w:rPr>
          <w:rFonts w:hint="eastAsia" w:ascii="仿宋_GB2312" w:hAnsi="仿宋_GB2312" w:eastAsia="仿宋_GB2312"/>
          <w:sz w:val="32"/>
        </w:rPr>
        <w:t>、</w:t>
      </w:r>
      <w:r>
        <w:rPr>
          <w:rFonts w:hint="default" w:eastAsia="Times New Roman"/>
          <w:sz w:val="32"/>
        </w:rPr>
        <w:t>“</w:t>
      </w:r>
      <w:r>
        <w:rPr>
          <w:rFonts w:hint="eastAsia" w:ascii="仿宋_GB2312" w:hAnsi="仿宋_GB2312" w:eastAsia="仿宋_GB2312"/>
          <w:sz w:val="32"/>
        </w:rPr>
        <w:t>其他收入</w:t>
      </w:r>
      <w:r>
        <w:rPr>
          <w:rFonts w:hint="default" w:eastAsia="Times New Roman"/>
          <w:sz w:val="32"/>
        </w:rPr>
        <w:t>”</w:t>
      </w:r>
      <w:r>
        <w:rPr>
          <w:rFonts w:hint="eastAsia" w:ascii="仿宋_GB2312" w:hAnsi="仿宋_GB2312" w:eastAsia="仿宋_GB2312"/>
          <w:sz w:val="32"/>
        </w:rPr>
        <w:t>不足以安排当年支出情况下，使用以前年度积累的事业基金（事业单位当年收支相抵后按国家规定提取、用于弥补以后年度收支差额的基金）弥补本年度收支缺口的资金。</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8.上年结转和结余：</w:t>
      </w:r>
      <w:r>
        <w:rPr>
          <w:rFonts w:hint="eastAsia" w:ascii="仿宋_GB2312" w:hAnsi="仿宋_GB2312" w:eastAsia="仿宋_GB2312"/>
          <w:sz w:val="32"/>
        </w:rPr>
        <w:t>指以前年度尚未完成、结转到本年按有关规定继续使用的资金。</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9.基本支出：</w:t>
      </w:r>
      <w:r>
        <w:rPr>
          <w:rFonts w:hint="eastAsia" w:ascii="仿宋_GB2312" w:hAnsi="仿宋_GB2312" w:eastAsia="仿宋_GB2312"/>
          <w:sz w:val="32"/>
        </w:rPr>
        <w:t>指保障机构正常运转、完成日常工作任务而发生的人员支出和公用支出。</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10.项目支出：</w:t>
      </w:r>
      <w:r>
        <w:rPr>
          <w:rFonts w:hint="eastAsia" w:ascii="仿宋_GB2312" w:hAnsi="仿宋_GB2312" w:eastAsia="仿宋_GB2312"/>
          <w:sz w:val="32"/>
        </w:rPr>
        <w:t>指在基本支出之外为完成特定行政任务和事业发展目标所发生的支出。</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11.上缴上级支出：</w:t>
      </w:r>
      <w:r>
        <w:rPr>
          <w:rFonts w:hint="eastAsia" w:ascii="仿宋_GB2312" w:hAnsi="仿宋_GB2312" w:eastAsia="仿宋_GB2312"/>
          <w:sz w:val="32"/>
        </w:rPr>
        <w:t>指事业单位按照财政部门和主管部门的规定上缴上级单位的支出。</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12.经营支出：</w:t>
      </w:r>
      <w:r>
        <w:rPr>
          <w:rFonts w:hint="eastAsia" w:ascii="仿宋_GB2312" w:hAnsi="仿宋_GB2312" w:eastAsia="仿宋_GB2312"/>
          <w:sz w:val="32"/>
        </w:rPr>
        <w:t>指事业单位在专业活动及辅助活动之外开展非独立核算经营活动发生的支出。</w:t>
      </w:r>
    </w:p>
    <w:p>
      <w:pPr>
        <w:widowControl w:val="0"/>
        <w:autoSpaceDE w:val="0"/>
        <w:autoSpaceDN w:val="0"/>
        <w:spacing w:beforeLines="0" w:afterLines="0" w:line="540" w:lineRule="exact"/>
        <w:ind w:firstLine="640"/>
        <w:rPr>
          <w:rFonts w:hint="default" w:eastAsia="Times New Roman"/>
          <w:b/>
          <w:sz w:val="32"/>
        </w:rPr>
      </w:pPr>
      <w:r>
        <w:rPr>
          <w:rFonts w:hint="eastAsia" w:ascii="仿宋_GB2312" w:hAnsi="仿宋_GB2312" w:eastAsia="仿宋_GB2312"/>
          <w:b/>
          <w:sz w:val="32"/>
        </w:rPr>
        <w:t>13.对附属单位补助支出：</w:t>
      </w:r>
      <w:r>
        <w:rPr>
          <w:rFonts w:hint="eastAsia" w:ascii="仿宋_GB2312" w:hAnsi="仿宋_GB2312" w:eastAsia="仿宋_GB2312"/>
          <w:sz w:val="32"/>
        </w:rPr>
        <w:t>指事业单位用财政补助收入之外的收入对附属单位补助发生的支出。</w:t>
      </w:r>
    </w:p>
    <w:p>
      <w:pPr>
        <w:widowControl w:val="0"/>
        <w:autoSpaceDE w:val="0"/>
        <w:autoSpaceDN w:val="0"/>
        <w:spacing w:beforeLines="0" w:afterLines="0" w:line="540" w:lineRule="exact"/>
        <w:ind w:firstLine="640"/>
        <w:rPr>
          <w:rFonts w:hint="default" w:eastAsia="Times New Roman"/>
          <w:sz w:val="32"/>
        </w:rPr>
      </w:pPr>
      <w:r>
        <w:rPr>
          <w:rFonts w:hint="eastAsia" w:ascii="仿宋_GB2312" w:hAnsi="仿宋_GB2312" w:eastAsia="仿宋_GB2312"/>
          <w:b/>
          <w:sz w:val="32"/>
        </w:rPr>
        <w:t>14.</w:t>
      </w:r>
      <w:r>
        <w:rPr>
          <w:rFonts w:hint="default" w:eastAsia="Times New Roman"/>
          <w:b/>
          <w:sz w:val="32"/>
        </w:rPr>
        <w:t>“</w:t>
      </w:r>
      <w:r>
        <w:rPr>
          <w:rFonts w:hint="eastAsia" w:ascii="仿宋_GB2312" w:hAnsi="仿宋_GB2312" w:eastAsia="仿宋_GB2312"/>
          <w:b/>
          <w:sz w:val="32"/>
        </w:rPr>
        <w:t>三公</w:t>
      </w:r>
      <w:r>
        <w:rPr>
          <w:rFonts w:hint="default" w:eastAsia="Times New Roman"/>
          <w:b/>
          <w:sz w:val="32"/>
        </w:rPr>
        <w:t>”</w:t>
      </w:r>
      <w:r>
        <w:rPr>
          <w:rFonts w:hint="eastAsia" w:ascii="仿宋_GB2312" w:hAnsi="仿宋_GB2312" w:eastAsia="仿宋_GB2312"/>
          <w:b/>
          <w:sz w:val="32"/>
        </w:rPr>
        <w:t>经费：</w:t>
      </w:r>
      <w:r>
        <w:rPr>
          <w:rFonts w:hint="eastAsia" w:ascii="仿宋_GB2312" w:hAnsi="仿宋_GB2312" w:eastAsia="仿宋_GB2312"/>
          <w:sz w:val="32"/>
        </w:rPr>
        <w:t>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widowControl w:val="0"/>
        <w:autoSpaceDE w:val="0"/>
        <w:autoSpaceDN w:val="0"/>
        <w:spacing w:beforeLines="0" w:afterLines="0" w:line="540" w:lineRule="exact"/>
        <w:ind w:firstLine="640"/>
        <w:rPr>
          <w:rFonts w:hint="default" w:eastAsia="Times New Roman"/>
          <w:sz w:val="21"/>
        </w:rPr>
      </w:pPr>
      <w:r>
        <w:rPr>
          <w:rFonts w:hint="eastAsia" w:ascii="仿宋_GB2312" w:hAnsi="仿宋_GB2312" w:eastAsia="仿宋_GB2312"/>
          <w:b/>
          <w:sz w:val="32"/>
        </w:rPr>
        <w:t>……</w:t>
      </w:r>
    </w:p>
    <w:p>
      <w:pPr>
        <w:widowControl w:val="0"/>
        <w:autoSpaceDE w:val="0"/>
        <w:autoSpaceDN w:val="0"/>
        <w:spacing w:beforeLines="0" w:afterLines="0"/>
        <w:rPr>
          <w:rFonts w:hint="default" w:eastAsia="Times New Roman"/>
          <w:sz w:val="18"/>
          <w:lang w:val="zh-CN"/>
        </w:rPr>
      </w:pPr>
    </w:p>
    <w:p>
      <w:pPr>
        <w:widowControl w:val="0"/>
        <w:autoSpaceDE w:val="0"/>
        <w:autoSpaceDN w:val="0"/>
        <w:spacing w:beforeLines="0" w:afterLines="0"/>
        <w:rPr>
          <w:rFonts w:hint="default" w:eastAsia="Times New Roman"/>
          <w:sz w:val="21"/>
        </w:rPr>
      </w:pPr>
    </w:p>
    <w:p>
      <w:pPr>
        <w:widowControl w:val="0"/>
        <w:autoSpaceDE w:val="0"/>
        <w:autoSpaceDN w:val="0"/>
        <w:spacing w:beforeLines="0" w:afterLines="0"/>
        <w:rPr>
          <w:rFonts w:hint="default" w:ascii="仿宋_GB2312" w:hAnsi="仿宋_GB2312" w:eastAsia="仿宋_GB2312"/>
          <w:b/>
          <w:sz w:val="32"/>
        </w:rPr>
      </w:pPr>
    </w:p>
    <w:sectPr>
      <w:pgSz w:w="12240" w:h="15840"/>
      <w:pgMar w:top="1440" w:right="1800" w:bottom="1440" w:left="180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3E37C2"/>
    <w:multiLevelType w:val="multilevel"/>
    <w:tmpl w:val="343E37C2"/>
    <w:lvl w:ilvl="0" w:tentative="0">
      <w:start w:val="1"/>
      <w:numFmt w:val="chineseCounting"/>
      <w:suff w:val="nothing"/>
      <w:lvlText w:val="%1、"/>
      <w:lvlJc w:val="left"/>
      <w:rPr>
        <w:rFonts w:hint="default" w:ascii="Times New Roman"/>
        <w:u w:val="none" w:color="auto"/>
      </w:rPr>
    </w:lvl>
    <w:lvl w:ilvl="1" w:tentative="0">
      <w:start w:val="1"/>
      <w:numFmt w:val="decimal"/>
      <w:lvlText w:val=""/>
      <w:lvlJc w:val="left"/>
      <w:rPr>
        <w:rFonts w:hint="default" w:ascii="Times New Roman"/>
        <w:u w:val="none" w:color="auto"/>
      </w:rPr>
    </w:lvl>
    <w:lvl w:ilvl="2" w:tentative="0">
      <w:start w:val="1"/>
      <w:numFmt w:val="decimal"/>
      <w:lvlText w:val=""/>
      <w:lvlJc w:val="left"/>
      <w:rPr>
        <w:rFonts w:hint="default" w:ascii="Times New Roman"/>
        <w:u w:val="none" w:color="auto"/>
      </w:rPr>
    </w:lvl>
    <w:lvl w:ilvl="3" w:tentative="0">
      <w:start w:val="1"/>
      <w:numFmt w:val="decimal"/>
      <w:lvlText w:val=""/>
      <w:lvlJc w:val="left"/>
      <w:rPr>
        <w:rFonts w:hint="default" w:ascii="Times New Roman"/>
        <w:u w:val="none" w:color="auto"/>
      </w:rPr>
    </w:lvl>
    <w:lvl w:ilvl="4" w:tentative="0">
      <w:start w:val="1"/>
      <w:numFmt w:val="decimal"/>
      <w:lvlText w:val=""/>
      <w:lvlJc w:val="left"/>
      <w:rPr>
        <w:rFonts w:hint="default" w:ascii="Times New Roman"/>
        <w:u w:val="none" w:color="auto"/>
      </w:rPr>
    </w:lvl>
    <w:lvl w:ilvl="5" w:tentative="0">
      <w:start w:val="1"/>
      <w:numFmt w:val="decimal"/>
      <w:lvlText w:val=""/>
      <w:lvlJc w:val="left"/>
      <w:rPr>
        <w:rFonts w:hint="default" w:ascii="Times New Roman"/>
        <w:u w:val="none" w:color="auto"/>
      </w:rPr>
    </w:lvl>
    <w:lvl w:ilvl="6" w:tentative="0">
      <w:start w:val="1"/>
      <w:numFmt w:val="decimal"/>
      <w:lvlText w:val=""/>
      <w:lvlJc w:val="left"/>
      <w:rPr>
        <w:rFonts w:hint="default" w:ascii="Times New Roman"/>
        <w:u w:val="none" w:color="auto"/>
      </w:rPr>
    </w:lvl>
    <w:lvl w:ilvl="7" w:tentative="0">
      <w:start w:val="1"/>
      <w:numFmt w:val="decimal"/>
      <w:lvlText w:val=""/>
      <w:lvlJc w:val="left"/>
      <w:rPr>
        <w:rFonts w:hint="default" w:ascii="Times New Roman"/>
        <w:u w:val="none" w:color="auto"/>
      </w:rPr>
    </w:lvl>
    <w:lvl w:ilvl="8" w:tentative="0">
      <w:start w:val="1"/>
      <w:numFmt w:val="decimal"/>
      <w:lvlText w:val=""/>
      <w:lvlJc w:val="left"/>
      <w:rPr>
        <w:rFonts w:hint="default" w:ascii="Times New Roman"/>
        <w:u w:val="none" w:color="auto"/>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720"/>
  <w:hyphenationZone w:val="360"/>
  <w:drawingGridHorizontalSpacing w:val="120"/>
  <w:drawingGridVerticalSpacing w:val="120"/>
  <w:displayHorizontalDrawingGridEvery w:val="0"/>
  <w:displayVerticalDrawingGridEvery w:val="3"/>
  <w:doNotUseMarginsForDrawingGridOrigin w:val="1"/>
  <w:drawingGridHorizontalOrigin w:val="1701"/>
  <w:drawingGridVerticalOrigin w:val="1984"/>
  <w:doNotShadeFormData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4EB5095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iPriority="0" w:semiHidden="0" w:name="Normal"/>
    <w:lsdException w:qFormat="1" w:unhideWhenUsed="0" w:uiPriority="99" w:semiHidden="0" w:name="heading 1"/>
    <w:lsdException w:uiPriority="99" w:name="heading 2"/>
    <w:lsdException w:uiPriority="99" w:name="heading 3"/>
    <w:lsdException w:uiPriority="99" w:name="heading 4"/>
    <w:lsdException w:uiPriority="99" w:name="heading 5"/>
    <w:lsdException w:uiPriority="99" w:name="heading 6"/>
    <w:lsdException w:uiPriority="99" w:name="heading 7"/>
    <w:lsdException w:uiPriority="99" w:name="heading 8"/>
    <w:lsdException w:uiPriority="99" w:name="heading 9"/>
    <w:lsdException w:qFormat="1" w:unhideWhenUsed="0" w:uiPriority="99" w:semiHidden="0" w:name="index 1"/>
    <w:lsdException w:qFormat="1" w:unhideWhenUsed="0" w:uiPriority="99" w:semiHidden="0" w:name="index 2"/>
    <w:lsdException w:qFormat="1" w:unhideWhenUsed="0" w:uiPriority="99" w:semiHidden="0" w:name="index 3"/>
    <w:lsdException w:qFormat="1" w:unhideWhenUsed="0" w:uiPriority="99" w:semiHidden="0" w:name="index 4"/>
    <w:lsdException w:qFormat="1" w:unhideWhenUsed="0" w:uiPriority="99" w:semiHidden="0" w:name="index 5"/>
    <w:lsdException w:qFormat="1" w:unhideWhenUsed="0" w:uiPriority="99" w:semiHidden="0" w:name="index 6"/>
    <w:lsdException w:qFormat="1" w:unhideWhenUsed="0" w:uiPriority="99" w:semiHidden="0" w:name="index 7"/>
    <w:lsdException w:qFormat="1" w:unhideWhenUsed="0" w:uiPriority="99" w:semiHidden="0" w:name="index 8"/>
    <w:lsdException w:qFormat="1" w:unhideWhenUsed="0" w:uiPriority="99" w:semiHidden="0" w:name="index 9"/>
    <w:lsdException w:qFormat="1" w:unhideWhenUsed="0" w:uiPriority="99" w:semiHidden="0" w:name="toc 1"/>
    <w:lsdException w:qFormat="1" w:unhideWhenUsed="0" w:uiPriority="99" w:semiHidden="0" w:name="toc 2"/>
    <w:lsdException w:qFormat="1" w:unhideWhenUsed="0" w:uiPriority="99" w:semiHidden="0" w:name="toc 3"/>
    <w:lsdException w:qFormat="1" w:unhideWhenUsed="0" w:uiPriority="99" w:semiHidden="0" w:name="toc 4"/>
    <w:lsdException w:qFormat="1" w:unhideWhenUsed="0" w:uiPriority="99" w:semiHidden="0" w:name="toc 5"/>
    <w:lsdException w:qFormat="1" w:unhideWhenUsed="0" w:uiPriority="99" w:semiHidden="0" w:name="toc 6"/>
    <w:lsdException w:qFormat="1" w:unhideWhenUsed="0" w:uiPriority="99" w:semiHidden="0" w:name="toc 7"/>
    <w:lsdException w:qFormat="1" w:unhideWhenUsed="0" w:uiPriority="99" w:semiHidden="0" w:name="toc 8"/>
    <w:lsdException w:qFormat="1" w:unhideWhenUsed="0" w:uiPriority="99" w:semiHidden="0" w:name="toc 9"/>
    <w:lsdException w:qFormat="1" w:unhideWhenUsed="0" w:uiPriority="99" w:semiHidden="0" w:name="Normal Indent"/>
    <w:lsdException w:qFormat="1" w:unhideWhenUsed="0" w:uiPriority="99" w:semiHidden="0" w:name="footnote text"/>
    <w:lsdException w:qFormat="1" w:unhideWhenUsed="0" w:uiPriority="99" w:semiHidden="0" w:name="annotation text"/>
    <w:lsdException w:uiPriority="99" w:semiHidden="0" w:name="header"/>
    <w:lsdException w:uiPriority="99" w:semiHidden="0" w:name="footer"/>
    <w:lsdException w:qFormat="1" w:unhideWhenUsed="0" w:uiPriority="99" w:semiHidden="0" w:name="index heading"/>
    <w:lsdException w:uiPriority="99" w:name="caption"/>
    <w:lsdException w:qFormat="1" w:unhideWhenUsed="0" w:uiPriority="99" w:semiHidden="0" w:name="table of figures"/>
    <w:lsdException w:qFormat="1" w:unhideWhenUsed="0" w:uiPriority="99" w:semiHidden="0" w:name="envelope address"/>
    <w:lsdException w:qFormat="1" w:unhideWhenUsed="0" w:uiPriority="99" w:semiHidden="0" w:name="envelope return"/>
    <w:lsdException w:qFormat="1" w:unhideWhenUsed="0" w:uiPriority="99" w:semiHidden="0" w:name="footnote reference"/>
    <w:lsdException w:qFormat="1" w:unhideWhenUsed="0" w:uiPriority="99" w:semiHidden="0" w:name="annotation reference"/>
    <w:lsdException w:qFormat="1" w:unhideWhenUsed="0" w:uiPriority="99"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qFormat="1" w:unhideWhenUsed="0" w:uiPriority="99" w:semiHidden="0" w:name="table of authorities"/>
    <w:lsdException w:qFormat="1" w:unhideWhenUsed="0" w:uiPriority="99" w:semiHidden="0" w:name="macro"/>
    <w:lsdException w:qFormat="1" w:unhideWhenUsed="0" w:uiPriority="99" w:semiHidden="0" w:name="toa heading"/>
    <w:lsdException w:qFormat="1" w:unhideWhenUsed="0" w:uiPriority="99" w:semiHidden="0" w:name="List"/>
    <w:lsdException w:qFormat="1" w:unhideWhenUsed="0" w:uiPriority="99" w:semiHidden="0" w:name="List Bullet"/>
    <w:lsdException w:qFormat="1" w:unhideWhenUsed="0" w:uiPriority="99" w:semiHidden="0" w:name="List Number"/>
    <w:lsdException w:qFormat="1" w:unhideWhenUsed="0" w:uiPriority="99" w:semiHidden="0" w:name="List 2"/>
    <w:lsdException w:qFormat="1" w:unhideWhenUsed="0" w:uiPriority="99" w:semiHidden="0" w:name="List 3"/>
    <w:lsdException w:qFormat="1" w:unhideWhenUsed="0" w:uiPriority="99" w:semiHidden="0" w:name="List 4"/>
    <w:lsdException w:qFormat="1" w:unhideWhenUsed="0" w:uiPriority="99" w:semiHidden="0" w:name="List 5"/>
    <w:lsdException w:qFormat="1" w:unhideWhenUsed="0" w:uiPriority="99" w:semiHidden="0" w:name="List Bullet 2"/>
    <w:lsdException w:qFormat="1" w:unhideWhenUsed="0" w:uiPriority="99" w:semiHidden="0" w:name="List Bullet 3"/>
    <w:lsdException w:qFormat="1" w:unhideWhenUsed="0" w:uiPriority="99" w:semiHidden="0" w:name="List Bullet 4"/>
    <w:lsdException w:qFormat="1" w:unhideWhenUsed="0" w:uiPriority="99" w:semiHidden="0" w:name="List Bullet 5"/>
    <w:lsdException w:qFormat="1" w:unhideWhenUsed="0" w:uiPriority="99" w:semiHidden="0" w:name="List Number 2"/>
    <w:lsdException w:qFormat="1" w:unhideWhenUsed="0" w:uiPriority="99" w:semiHidden="0" w:name="List Number 3"/>
    <w:lsdException w:qFormat="1" w:unhideWhenUsed="0" w:uiPriority="99" w:semiHidden="0" w:name="List Number 4"/>
    <w:lsdException w:qFormat="1" w:unhideWhenUsed="0" w:uiPriority="99" w:semiHidden="0" w:name="List Number 5"/>
    <w:lsdException w:qFormat="1" w:unhideWhenUsed="0" w:uiPriority="99" w:semiHidden="0" w:name="Title"/>
    <w:lsdException w:qFormat="1" w:unhideWhenUsed="0" w:uiPriority="99" w:semiHidden="0" w:name="Closing"/>
    <w:lsdException w:qFormat="1" w:unhideWhenUsed="0" w:uiPriority="99" w:semiHidden="0" w:name="Signature"/>
    <w:lsdException w:uiPriority="1" w:semiHidden="0" w:name="Default Paragraph Font"/>
    <w:lsdException w:qFormat="1" w:unhideWhenUsed="0" w:uiPriority="99" w:semiHidden="0" w:name="Body Text"/>
    <w:lsdException w:qFormat="1" w:unhideWhenUsed="0" w:uiPriority="99" w:semiHidden="0" w:name="Body Text Indent"/>
    <w:lsdException w:qFormat="1" w:unhideWhenUsed="0" w:uiPriority="99" w:semiHidden="0" w:name="List Continue"/>
    <w:lsdException w:qFormat="1" w:unhideWhenUsed="0" w:uiPriority="99" w:semiHidden="0" w:name="List Continue 2"/>
    <w:lsdException w:qFormat="1" w:unhideWhenUsed="0" w:uiPriority="99" w:semiHidden="0" w:name="List Continue 3"/>
    <w:lsdException w:qFormat="1" w:unhideWhenUsed="0" w:uiPriority="99" w:semiHidden="0" w:name="List Continue 4"/>
    <w:lsdException w:qFormat="1" w:unhideWhenUsed="0" w:uiPriority="99" w:semiHidden="0" w:name="List Continue 5"/>
    <w:lsdException w:qFormat="1" w:unhideWhenUsed="0" w:uiPriority="99" w:semiHidden="0" w:name="Message Header"/>
    <w:lsdException w:qFormat="1" w:unhideWhenUsed="0" w:uiPriority="99" w:semiHidden="0" w:name="Subtitle"/>
    <w:lsdException w:qFormat="1" w:unhideWhenUsed="0" w:uiPriority="99" w:semiHidden="0" w:name="Salutation"/>
    <w:lsdException w:qFormat="1" w:unhideWhenUsed="0" w:uiPriority="99" w:semiHidden="0" w:name="Date"/>
    <w:lsdException w:qFormat="1" w:unhideWhenUsed="0" w:uiPriority="99" w:semiHidden="0" w:name="Body Text First Indent"/>
    <w:lsdException w:qFormat="1" w:unhideWhenUsed="0" w:uiPriority="99" w:semiHidden="0" w:name="Body Text First Indent 2"/>
    <w:lsdException w:qFormat="1" w:unhideWhenUsed="0" w:uiPriority="99"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qFormat="1" w:unhideWhenUsed="0" w:uiPriority="99" w:semiHidden="0" w:name="Block Text"/>
    <w:lsdException w:qFormat="1" w:unhideWhenUsed="0" w:uiPriority="99" w:semiHidden="0" w:name="Hyperlink"/>
    <w:lsdException w:qFormat="1" w:unhideWhenUsed="0" w:uiPriority="99" w:semiHidden="0" w:name="FollowedHyperlink"/>
    <w:lsdException w:qFormat="1" w:unhideWhenUsed="0" w:uiPriority="99" w:semiHidden="0" w:name="Strong"/>
    <w:lsdException w:qFormat="1" w:unhideWhenUsed="0" w:uiPriority="99" w:semiHidden="0" w:name="Emphasis"/>
    <w:lsdException w:qFormat="1" w:unhideWhenUsed="0" w:uiPriority="99" w:semiHidden="0" w:name="Document Map"/>
    <w:lsdException w:qFormat="1" w:unhideWhenUsed="0" w:uiPriority="99" w:semiHidden="0" w:name="Plain Text"/>
    <w:lsdException w:qFormat="1" w:unhideWhenUsed="0" w:uiPriority="99" w:semiHidden="0" w:name="E-mail Signature"/>
    <w:lsdException w:qFormat="1" w:unhideWhenUsed="0" w:uiPriority="99" w:semiHidden="0" w:name="Normal (Web)"/>
    <w:lsdException w:qFormat="1" w:unhideWhenUsed="0" w:uiPriority="99" w:semiHidden="0" w:name="HTML Acronym"/>
    <w:lsdException w:qFormat="1" w:unhideWhenUsed="0" w:uiPriority="99" w:semiHidden="0" w:name="HTML Address"/>
    <w:lsdException w:qFormat="1" w:unhideWhenUsed="0" w:uiPriority="99" w:semiHidden="0" w:name="HTML Cite"/>
    <w:lsdException w:qFormat="1" w:unhideWhenUsed="0" w:uiPriority="99" w:semiHidden="0" w:name="HTML Code"/>
    <w:lsdException w:qFormat="1" w:unhideWhenUsed="0" w:uiPriority="99" w:semiHidden="0" w:name="HTML Definition"/>
    <w:lsdException w:qFormat="1" w:unhideWhenUsed="0" w:uiPriority="99" w:semiHidden="0" w:name="HTML Keyboard"/>
    <w:lsdException w:qFormat="1" w:unhideWhenUsed="0" w:uiPriority="99" w:semiHidden="0" w:name="HTML Preformatted"/>
    <w:lsdException w:qFormat="1" w:unhideWhenUsed="0" w:uiPriority="99" w:semiHidden="0" w:name="HTML Sample"/>
    <w:lsdException w:qFormat="1" w:unhideWhenUsed="0" w:uiPriority="99" w:semiHidden="0" w:name="HTML Typewriter"/>
    <w:lsdException w:qFormat="1" w:unhideWhenUsed="0" w:uiPriority="99" w:semiHidden="0" w:name="HTML Variable"/>
    <w:lsdException w:qFormat="1" w:unhideWhenUsed="0" w:uiPriority="99" w:semiHidden="0" w:name="Normal Table"/>
    <w:lsdException w:qFormat="1" w:unhideWhenUsed="0" w:uiPriority="99" w:semiHidden="0" w:name="annotation subject"/>
    <w:lsdException w:qFormat="1" w:unhideWhenUsed="0" w:uiPriority="99" w:semiHidden="0" w:name="Table Simple 1"/>
    <w:lsdException w:qFormat="1" w:unhideWhenUsed="0" w:uiPriority="99" w:semiHidden="0" w:name="Table Simple 2"/>
    <w:lsdException w:qFormat="1" w:unhideWhenUsed="0" w:uiPriority="99" w:semiHidden="0" w:name="Table Simple 3"/>
    <w:lsdException w:qFormat="1" w:unhideWhenUsed="0" w:uiPriority="99" w:semiHidden="0" w:name="Table Classic 1"/>
    <w:lsdException w:qFormat="1" w:unhideWhenUsed="0" w:uiPriority="99" w:semiHidden="0" w:name="Table Classic 2"/>
    <w:lsdException w:qFormat="1" w:unhideWhenUsed="0" w:uiPriority="99" w:semiHidden="0" w:name="Table Classic 3"/>
    <w:lsdException w:qFormat="1" w:unhideWhenUsed="0" w:uiPriority="99" w:semiHidden="0" w:name="Table Classic 4"/>
    <w:lsdException w:qFormat="1" w:unhideWhenUsed="0" w:uiPriority="99" w:semiHidden="0" w:name="Table Colorful 1"/>
    <w:lsdException w:qFormat="1" w:unhideWhenUsed="0" w:uiPriority="99" w:semiHidden="0" w:name="Table Colorful 2"/>
    <w:lsdException w:qFormat="1" w:unhideWhenUsed="0" w:uiPriority="99" w:semiHidden="0" w:name="Table Colorful 3"/>
    <w:lsdException w:qFormat="1" w:unhideWhenUsed="0" w:uiPriority="99" w:semiHidden="0" w:name="Table Columns 1"/>
    <w:lsdException w:qFormat="1" w:unhideWhenUsed="0" w:uiPriority="99" w:semiHidden="0" w:name="Table Columns 2"/>
    <w:lsdException w:qFormat="1" w:unhideWhenUsed="0" w:uiPriority="99" w:semiHidden="0" w:name="Table Columns 3"/>
    <w:lsdException w:qFormat="1" w:unhideWhenUsed="0" w:uiPriority="99" w:semiHidden="0" w:name="Table Columns 4"/>
    <w:lsdException w:qFormat="1" w:unhideWhenUsed="0" w:uiPriority="99" w:semiHidden="0" w:name="Table Columns 5"/>
    <w:lsdException w:qFormat="1" w:unhideWhenUsed="0" w:uiPriority="99" w:semiHidden="0" w:name="Table Grid 1"/>
    <w:lsdException w:qFormat="1" w:unhideWhenUsed="0" w:uiPriority="99" w:semiHidden="0" w:name="Table Grid 2"/>
    <w:lsdException w:qFormat="1" w:unhideWhenUsed="0" w:uiPriority="99" w:semiHidden="0" w:name="Table Grid 3"/>
    <w:lsdException w:qFormat="1" w:unhideWhenUsed="0" w:uiPriority="99" w:semiHidden="0" w:name="Table Grid 4"/>
    <w:lsdException w:qFormat="1" w:unhideWhenUsed="0" w:uiPriority="99" w:semiHidden="0" w:name="Table Grid 5"/>
    <w:lsdException w:qFormat="1" w:unhideWhenUsed="0" w:uiPriority="99" w:semiHidden="0" w:name="Table Grid 6"/>
    <w:lsdException w:qFormat="1" w:unhideWhenUsed="0" w:uiPriority="99" w:semiHidden="0" w:name="Table Grid 7"/>
    <w:lsdException w:qFormat="1" w:unhideWhenUsed="0" w:uiPriority="99" w:semiHidden="0" w:name="Table Grid 8"/>
    <w:lsdException w:qFormat="1" w:unhideWhenUsed="0" w:uiPriority="99" w:semiHidden="0" w:name="Table List 1"/>
    <w:lsdException w:qFormat="1" w:unhideWhenUsed="0" w:uiPriority="99" w:semiHidden="0" w:name="Table List 2"/>
    <w:lsdException w:qFormat="1" w:unhideWhenUsed="0" w:uiPriority="99" w:semiHidden="0" w:name="Table List 3"/>
    <w:lsdException w:qFormat="1" w:unhideWhenUsed="0" w:uiPriority="99" w:semiHidden="0" w:name="Table List 4"/>
    <w:lsdException w:qFormat="1" w:unhideWhenUsed="0" w:uiPriority="99" w:semiHidden="0" w:name="Table List 5"/>
    <w:lsdException w:qFormat="1" w:unhideWhenUsed="0" w:uiPriority="99" w:semiHidden="0" w:name="Table List 6"/>
    <w:lsdException w:qFormat="1" w:unhideWhenUsed="0" w:uiPriority="99" w:semiHidden="0" w:name="Table List 7"/>
    <w:lsdException w:qFormat="1" w:unhideWhenUsed="0" w:uiPriority="99" w:semiHidden="0" w:name="Table List 8"/>
    <w:lsdException w:qFormat="1" w:unhideWhenUsed="0" w:uiPriority="99" w:semiHidden="0" w:name="Table 3D effects 1"/>
    <w:lsdException w:qFormat="1" w:unhideWhenUsed="0" w:uiPriority="99" w:semiHidden="0" w:name="Table 3D effects 2"/>
    <w:lsdException w:qFormat="1" w:unhideWhenUsed="0" w:uiPriority="99" w:semiHidden="0" w:name="Table 3D effects 3"/>
    <w:lsdException w:qFormat="1" w:unhideWhenUsed="0" w:uiPriority="99" w:semiHidden="0" w:name="Table Contemporary"/>
    <w:lsdException w:qFormat="1" w:unhideWhenUsed="0" w:uiPriority="99" w:semiHidden="0" w:name="Table Elegant"/>
    <w:lsdException w:qFormat="1" w:unhideWhenUsed="0" w:uiPriority="99" w:semiHidden="0" w:name="Table Professional"/>
    <w:lsdException w:qFormat="1" w:unhideWhenUsed="0" w:uiPriority="99" w:semiHidden="0" w:name="Table Subtle 1"/>
    <w:lsdException w:qFormat="1" w:unhideWhenUsed="0" w:uiPriority="99" w:semiHidden="0" w:name="Table Subtle 2"/>
    <w:lsdException w:qFormat="1" w:unhideWhenUsed="0" w:uiPriority="99" w:semiHidden="0" w:name="Table Web 1"/>
    <w:lsdException w:qFormat="1" w:unhideWhenUsed="0" w:uiPriority="99" w:semiHidden="0" w:name="Table Web 2"/>
    <w:lsdException w:qFormat="1" w:unhideWhenUsed="0" w:uiPriority="99" w:semiHidden="0" w:name="Table Web 3"/>
    <w:lsdException w:qFormat="1" w:unhideWhenUsed="0" w:uiPriority="99" w:semiHidden="0" w:name="Balloon Text"/>
    <w:lsdException w:qFormat="1" w:unhideWhenUsed="0" w:uiPriority="99" w:semiHidden="0" w:name="Table Grid"/>
    <w:lsdException w:qFormat="1" w:unhideWhenUsed="0" w:uiPriority="99" w:semiHidden="0" w:name="Table Theme"/>
    <w:lsdException w:uiPriority="60" w:name="Light Shading"/>
    <w:lsdException w:uiPriority="61" w:name="Light List"/>
    <w:lsdException w:uiPriority="62" w:name="Light Grid"/>
    <w:lsdException w:uiPriority="63" w:name="Medium Shading 1"/>
    <w:lsdException w:uiPriority="64" w:name="Medium Shading 2"/>
    <w:lsdException w:uiPriority="65" w:name="Medium List 1"/>
    <w:lsdException w:uiPriority="66" w:name="Medium List 2"/>
    <w:lsdException w:uiPriority="67" w:name="Medium Grid 1"/>
    <w:lsdException w:uiPriority="68" w:name="Medium Grid 2"/>
    <w:lsdException w:uiPriority="69" w:name="Medium Grid 3"/>
    <w:lsdException w:uiPriority="70" w:name="Dark List"/>
    <w:lsdException w:uiPriority="71" w:name="Colorful Shading"/>
    <w:lsdException w:uiPriority="72" w:name="Colorful List"/>
    <w:lsdException w:uiPriority="73" w:name="Colorful Grid"/>
    <w:lsdException w:uiPriority="60" w:name="Light Shading Accent 1"/>
    <w:lsdException w:uiPriority="61" w:name="Light List Accent 1"/>
    <w:lsdException w:uiPriority="62" w:name="Light Grid Accent 1"/>
    <w:lsdException w:uiPriority="63" w:name="Medium Shading 1 Accent 1"/>
    <w:lsdException w:uiPriority="64" w:name="Medium Shading 2 Accent 1"/>
    <w:lsdException w:uiPriority="65" w:name="Medium List 1 Accent 1"/>
    <w:lsdException w:uiPriority="66" w:name="Medium List 2 Accent 1"/>
    <w:lsdException w:uiPriority="67" w:name="Medium Grid 1 Accent 1"/>
    <w:lsdException w:uiPriority="68" w:name="Medium Grid 2 Accent 1"/>
    <w:lsdException w:uiPriority="69" w:name="Medium Grid 3 Accent 1"/>
    <w:lsdException w:uiPriority="70" w:name="Dark List Accent 1"/>
    <w:lsdException w:uiPriority="71" w:name="Colorful Shading Accent 1"/>
    <w:lsdException w:uiPriority="72" w:name="Colorful List Accent 1"/>
    <w:lsdException w:uiPriority="73" w:name="Colorful Grid Accent 1"/>
    <w:lsdException w:uiPriority="60" w:name="Light Shading Accent 2"/>
    <w:lsdException w:uiPriority="61" w:name="Light List Accent 2"/>
    <w:lsdException w:uiPriority="62" w:name="Light Grid Accent 2"/>
    <w:lsdException w:uiPriority="63" w:name="Medium Shading 1 Accent 2"/>
    <w:lsdException w:uiPriority="64" w:name="Medium Shading 2 Accent 2"/>
    <w:lsdException w:uiPriority="65" w:name="Medium List 1 Accent 2"/>
    <w:lsdException w:uiPriority="66" w:name="Medium List 2 Accent 2"/>
    <w:lsdException w:uiPriority="67" w:name="Medium Grid 1 Accent 2"/>
    <w:lsdException w:uiPriority="68" w:name="Medium Grid 2 Accent 2"/>
    <w:lsdException w:uiPriority="69" w:name="Medium Grid 3 Accent 2"/>
    <w:lsdException w:uiPriority="70" w:name="Dark List Accent 2"/>
    <w:lsdException w:uiPriority="71" w:name="Colorful Shading Accent 2"/>
    <w:lsdException w:uiPriority="72" w:name="Colorful List Accent 2"/>
    <w:lsdException w:uiPriority="73" w:name="Colorful Grid Accent 2"/>
    <w:lsdException w:uiPriority="60" w:name="Light Shading Accent 3"/>
    <w:lsdException w:uiPriority="61" w:name="Light List Accent 3"/>
    <w:lsdException w:uiPriority="62" w:name="Light Grid Accent 3"/>
    <w:lsdException w:uiPriority="63" w:name="Medium Shading 1 Accent 3"/>
    <w:lsdException w:uiPriority="64" w:name="Medium Shading 2 Accent 3"/>
    <w:lsdException w:uiPriority="65" w:name="Medium List 1 Accent 3"/>
    <w:lsdException w:uiPriority="66" w:name="Medium List 2 Accent 3"/>
    <w:lsdException w:uiPriority="67" w:name="Medium Grid 1 Accent 3"/>
    <w:lsdException w:uiPriority="68" w:name="Medium Grid 2 Accent 3"/>
    <w:lsdException w:uiPriority="69" w:name="Medium Grid 3 Accent 3"/>
    <w:lsdException w:uiPriority="70" w:name="Dark List Accent 3"/>
    <w:lsdException w:uiPriority="71" w:name="Colorful Shading Accent 3"/>
    <w:lsdException w:uiPriority="72" w:name="Colorful List Accent 3"/>
    <w:lsdException w:uiPriority="73" w:name="Colorful Grid Accent 3"/>
    <w:lsdException w:uiPriority="60" w:name="Light Shading Accent 4"/>
    <w:lsdException w:uiPriority="61" w:name="Light List Accent 4"/>
    <w:lsdException w:uiPriority="62" w:name="Light Grid Accent 4"/>
    <w:lsdException w:uiPriority="63" w:name="Medium Shading 1 Accent 4"/>
    <w:lsdException w:uiPriority="64" w:name="Medium Shading 2 Accent 4"/>
    <w:lsdException w:uiPriority="65" w:name="Medium List 1 Accent 4"/>
    <w:lsdException w:uiPriority="66" w:name="Medium List 2 Accent 4"/>
    <w:lsdException w:uiPriority="67" w:name="Medium Grid 1 Accent 4"/>
    <w:lsdException w:uiPriority="68" w:name="Medium Grid 2 Accent 4"/>
    <w:lsdException w:uiPriority="69" w:name="Medium Grid 3 Accent 4"/>
    <w:lsdException w:uiPriority="70" w:name="Dark List Accent 4"/>
    <w:lsdException w:uiPriority="71" w:name="Colorful Shading Accent 4"/>
    <w:lsdException w:uiPriority="72" w:name="Colorful List Accent 4"/>
    <w:lsdException w:uiPriority="73" w:name="Colorful Grid Accent 4"/>
    <w:lsdException w:uiPriority="60" w:name="Light Shading Accent 5"/>
    <w:lsdException w:uiPriority="61" w:name="Light List Accent 5"/>
    <w:lsdException w:uiPriority="62" w:name="Light Grid Accent 5"/>
    <w:lsdException w:uiPriority="63" w:name="Medium Shading 1 Accent 5"/>
    <w:lsdException w:uiPriority="64" w:name="Medium Shading 2 Accent 5"/>
    <w:lsdException w:uiPriority="65" w:name="Medium List 1 Accent 5"/>
    <w:lsdException w:uiPriority="66" w:name="Medium List 2 Accent 5"/>
    <w:lsdException w:uiPriority="67" w:name="Medium Grid 1 Accent 5"/>
    <w:lsdException w:uiPriority="68" w:name="Medium Grid 2 Accent 5"/>
    <w:lsdException w:uiPriority="69" w:name="Medium Grid 3 Accent 5"/>
    <w:lsdException w:uiPriority="70" w:name="Dark List Accent 5"/>
    <w:lsdException w:uiPriority="71" w:name="Colorful Shading Accent 5"/>
    <w:lsdException w:uiPriority="72" w:name="Colorful List Accent 5"/>
    <w:lsdException w:uiPriority="73" w:name="Colorful Grid Accent 5"/>
    <w:lsdException w:uiPriority="60" w:name="Light Shading Accent 6"/>
    <w:lsdException w:uiPriority="61" w:name="Light List Accent 6"/>
    <w:lsdException w:uiPriority="62" w:name="Light Grid Accent 6"/>
    <w:lsdException w:uiPriority="63" w:name="Medium Shading 1 Accent 6"/>
    <w:lsdException w:uiPriority="64" w:name="Medium Shading 2 Accent 6"/>
    <w:lsdException w:uiPriority="65" w:name="Medium List 1 Accent 6"/>
    <w:lsdException w:uiPriority="66" w:name="Medium List 2 Accent 6"/>
    <w:lsdException w:uiPriority="67" w:name="Medium Grid 1 Accent 6"/>
    <w:lsdException w:uiPriority="68" w:name="Medium Grid 2 Accent 6"/>
    <w:lsdException w:uiPriority="69" w:name="Medium Grid 3 Accent 6"/>
    <w:lsdException w:uiPriority="70" w:name="Dark List Accent 6"/>
    <w:lsdException w:uiPriority="71" w:name="Colorful Shading Accent 6"/>
    <w:lsdException w:uiPriority="72" w:name="Colorful List Accent 6"/>
    <w:lsdException w:uiPriority="73" w:name="Colorful Grid Accent 6"/>
  </w:latentStyles>
  <w:style w:type="paragraph" w:default="1" w:styleId="1">
    <w:name w:val="Normal"/>
    <w:unhideWhenUsed/>
    <w:qFormat/>
    <w:uiPriority w:val="0"/>
    <w:pPr>
      <w:spacing w:beforeLines="0" w:afterLines="0"/>
      <w:jc w:val="both"/>
    </w:pPr>
    <w:rPr>
      <w:rFonts w:hint="eastAsia" w:ascii="Times New Roman" w:hAnsi="Times New Roman" w:eastAsia="宋体"/>
      <w:kern w:val="2"/>
      <w:sz w:val="21"/>
      <w:lang w:val="en-US" w:eastAsia="zh-CN"/>
    </w:rPr>
  </w:style>
  <w:style w:type="character" w:default="1" w:styleId="5">
    <w:name w:val="Default Paragraph Font"/>
    <w:unhideWhenUsed/>
    <w:uiPriority w:val="1"/>
    <w:rPr>
      <w:rFonts w:hint="default"/>
      <w:sz w:val="24"/>
    </w:rPr>
  </w:style>
  <w:style w:type="table" w:default="1" w:styleId="4">
    <w:name w:val="Normal Table"/>
    <w:qFormat/>
    <w:uiPriority w:val="99"/>
    <w:tblPr>
      <w:tblLayout w:type="fixed"/>
      <w:tblCellMar>
        <w:top w:w="0" w:type="dxa"/>
        <w:left w:w="108" w:type="dxa"/>
        <w:bottom w:w="0" w:type="dxa"/>
        <w:right w:w="108" w:type="dxa"/>
      </w:tblCellMar>
    </w:tblPr>
  </w:style>
  <w:style w:type="paragraph" w:styleId="2">
    <w:name w:val="footer"/>
    <w:basedOn w:val="1"/>
    <w:link w:val="6"/>
    <w:unhideWhenUsed/>
    <w:uiPriority w:val="99"/>
    <w:pPr>
      <w:tabs>
        <w:tab w:val="center" w:pos="4153"/>
        <w:tab w:val="right" w:pos="8306"/>
      </w:tabs>
      <w:snapToGrid w:val="0"/>
      <w:spacing w:beforeLines="0" w:afterLines="0"/>
      <w:jc w:val="left"/>
    </w:pPr>
    <w:rPr>
      <w:rFonts w:hint="eastAsia"/>
      <w:sz w:val="18"/>
    </w:rPr>
  </w:style>
  <w:style w:type="paragraph" w:styleId="3">
    <w:name w:val="header"/>
    <w:basedOn w:val="1"/>
    <w:link w:val="7"/>
    <w:unhideWhenUsed/>
    <w:uiPriority w:val="99"/>
    <w:pPr>
      <w:pBdr>
        <w:bottom w:val="single" w:color="auto" w:sz="6" w:space="1"/>
      </w:pBdr>
      <w:tabs>
        <w:tab w:val="center" w:pos="4153"/>
        <w:tab w:val="right" w:pos="8306"/>
      </w:tabs>
      <w:snapToGrid w:val="0"/>
      <w:spacing w:beforeLines="0" w:afterLines="0"/>
      <w:jc w:val="center"/>
    </w:pPr>
    <w:rPr>
      <w:rFonts w:hint="eastAsia"/>
      <w:sz w:val="18"/>
    </w:rPr>
  </w:style>
  <w:style w:type="character" w:customStyle="1" w:styleId="6">
    <w:name w:val="页脚 Char"/>
    <w:basedOn w:val="5"/>
    <w:link w:val="2"/>
    <w:unhideWhenUsed/>
    <w:locked/>
    <w:uiPriority w:val="99"/>
    <w:rPr>
      <w:rFonts w:hint="default" w:ascii="Times New Roman"/>
      <w:sz w:val="18"/>
    </w:rPr>
  </w:style>
  <w:style w:type="character" w:customStyle="1" w:styleId="7">
    <w:name w:val="页眉 Char"/>
    <w:basedOn w:val="5"/>
    <w:link w:val="3"/>
    <w:unhideWhenUsed/>
    <w:locked/>
    <w:uiPriority w:val="99"/>
    <w:rPr>
      <w:rFonts w:hint="default" w:ascii="Times New Roman"/>
      <w:sz w:val="18"/>
    </w:rPr>
  </w:style>
  <w:style w:type="character" w:customStyle="1" w:styleId="8">
    <w:name w:val="页眉 Char1"/>
    <w:basedOn w:val="5"/>
    <w:link w:val="3"/>
    <w:unhideWhenUsed/>
    <w:locked/>
    <w:uiPriority w:val="99"/>
    <w:rPr>
      <w:rFonts w:hint="default" w:ascii="宋体"/>
      <w:sz w:val="18"/>
    </w:rPr>
  </w:style>
  <w:style w:type="character" w:customStyle="1" w:styleId="9">
    <w:name w:val="页眉 Char11"/>
    <w:basedOn w:val="5"/>
    <w:unhideWhenUsed/>
    <w:uiPriority w:val="99"/>
    <w:rPr>
      <w:rFonts w:hint="default" w:ascii="宋体"/>
      <w:sz w:val="18"/>
    </w:rPr>
  </w:style>
  <w:style w:type="character" w:customStyle="1" w:styleId="10">
    <w:name w:val="页脚 Char1"/>
    <w:basedOn w:val="5"/>
    <w:link w:val="2"/>
    <w:unhideWhenUsed/>
    <w:locked/>
    <w:uiPriority w:val="99"/>
    <w:rPr>
      <w:rFonts w:hint="default" w:ascii="宋体"/>
      <w:sz w:val="18"/>
    </w:rPr>
  </w:style>
  <w:style w:type="character" w:customStyle="1" w:styleId="11">
    <w:name w:val="页脚 Char11"/>
    <w:basedOn w:val="5"/>
    <w:unhideWhenUsed/>
    <w:uiPriority w:val="99"/>
    <w:rPr>
      <w:rFonts w:hint="default" w:ascii="宋体"/>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5" Type="http://schemas.openxmlformats.org/officeDocument/2006/relationships/fontTable" Target="fontTable.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Office_11.1.0.8597_F1E327BC-269C-435d-A152-05C5408002CA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2019-10-15T02:42:38Z</dcterms:created>
  <dc:creator>gfox2</dc:creator>
  <cp:lastModifiedBy>大楠</cp:lastModifiedBy>
  <dcterms:modified xsi:type="dcterms:W3CDTF">2019-10-15T02:43:09Z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2052-11.1.0.8597</vt:lpwstr>
  </property>
</Properties>
</file>