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C5" w:rsidRDefault="009E0A57" w:rsidP="00B27092">
      <w:pPr>
        <w:jc w:val="center"/>
        <w:rPr>
          <w:rFonts w:ascii="仿宋_GB2312" w:eastAsia="仿宋_GB2312" w:hint="eastAsia"/>
          <w:b/>
          <w:sz w:val="44"/>
          <w:szCs w:val="44"/>
        </w:rPr>
      </w:pPr>
      <w:r w:rsidRPr="00713AC5">
        <w:rPr>
          <w:rFonts w:ascii="仿宋_GB2312" w:eastAsia="仿宋_GB2312" w:hint="eastAsia"/>
          <w:b/>
          <w:sz w:val="44"/>
          <w:szCs w:val="44"/>
        </w:rPr>
        <w:t>本溪市</w:t>
      </w:r>
      <w:r w:rsidR="00F44588" w:rsidRPr="00713AC5">
        <w:rPr>
          <w:rFonts w:ascii="仿宋_GB2312" w:eastAsia="仿宋_GB2312" w:hint="eastAsia"/>
          <w:b/>
          <w:sz w:val="44"/>
          <w:szCs w:val="44"/>
        </w:rPr>
        <w:t>明山区水利</w:t>
      </w:r>
      <w:r w:rsidR="00B27092" w:rsidRPr="00713AC5">
        <w:rPr>
          <w:rFonts w:ascii="仿宋_GB2312" w:eastAsia="仿宋_GB2312" w:hint="eastAsia"/>
          <w:b/>
          <w:sz w:val="44"/>
          <w:szCs w:val="44"/>
        </w:rPr>
        <w:t>局行政自由裁量权</w:t>
      </w:r>
    </w:p>
    <w:p w:rsidR="00A973E5" w:rsidRPr="00713AC5" w:rsidRDefault="00B27092" w:rsidP="00B27092">
      <w:pPr>
        <w:jc w:val="center"/>
        <w:rPr>
          <w:rFonts w:ascii="仿宋_GB2312" w:eastAsia="仿宋_GB2312"/>
          <w:b/>
          <w:sz w:val="44"/>
          <w:szCs w:val="44"/>
        </w:rPr>
      </w:pPr>
      <w:r w:rsidRPr="00713AC5">
        <w:rPr>
          <w:rFonts w:ascii="仿宋_GB2312" w:eastAsia="仿宋_GB2312" w:hint="eastAsia"/>
          <w:b/>
          <w:sz w:val="44"/>
          <w:szCs w:val="44"/>
        </w:rPr>
        <w:t>适用规定</w:t>
      </w:r>
    </w:p>
    <w:p w:rsidR="001A10A9" w:rsidRDefault="00B27092" w:rsidP="00B27092">
      <w:pPr>
        <w:rPr>
          <w:rFonts w:ascii="仿宋_GB2312" w:eastAsia="仿宋_GB2312"/>
          <w:sz w:val="28"/>
          <w:szCs w:val="28"/>
        </w:rPr>
      </w:pPr>
      <w:r w:rsidRPr="00B27092">
        <w:rPr>
          <w:rFonts w:ascii="仿宋_GB2312" w:eastAsia="仿宋_GB2312" w:hint="eastAsia"/>
          <w:sz w:val="28"/>
          <w:szCs w:val="28"/>
        </w:rPr>
        <w:t xml:space="preserve">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第一章 总则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第一条  为全面推进依法行政，规范全市水行政主管部门行使行政职权自由裁量行为，保障公民、法人和其他组织的合法权益，根据《辽宁省规范行政裁量权办法》（辽宁省人民政府令第252号）和本溪市依法行政工作领导小组办公室《关于在全市范围内进一步规范行政自由裁量权工作的通知》（本依法组办发〔2018〕2号）等有关规定和要求，结合工作实际，制定本规定。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第二条  本规则所称行政自由裁量权，是指市、县（区）水行政机关及其所依法委托的行使行政职权的组织，在履行行政执法职权时，依照法律、法规、规章和其他规范性文件规定的条件、种类和幅度等，所享有的自主决定权和处置权。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第三条  市、县（区）水行政机关及其所依法委托的组织，在行使行政自由裁量权时，应当遵守本规则。法律、法规、规章另有规定的从其规定。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第四条  市、县（区）水行政机关及其所依法委托的组织行使行政自由裁量权，应当遵循依法、公平、公正、公开、高效的原则。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第五条  市、县（区）水行政机关及其所依法委托的组</w:t>
      </w:r>
      <w:r w:rsidRPr="00713AC5">
        <w:rPr>
          <w:rFonts w:ascii="仿宋_GB2312" w:eastAsia="仿宋_GB2312" w:hint="eastAsia"/>
          <w:sz w:val="32"/>
          <w:szCs w:val="32"/>
        </w:rPr>
        <w:lastRenderedPageBreak/>
        <w:t xml:space="preserve">织行政行政自由裁量权应当主动接受同级政府法制部门和监察机关的指导、监督和行政监察。市水行政机关法制机构应当加强对受委托组织和下级机关行使行政自由裁量权的工作指导。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第二章  行政处罚自由裁量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第六条  违法当事人具有下列情形之一的，依法不予处罚：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（一）不满十四周岁的人实施违法行为的；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（二）精神病人在不能辩认或者不能控制自己行为时实施违法行为的；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（三）违法行为轻微并及时纠正，没有造成危害后果的；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（四）对我市重点项目、重点工程建设及招商引资项目中的初次违法行为，情节较轻，应以教育为主的；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（五）法律、法规、规章规定不予处罚的其他情形。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第七条  违法当事人具有下列情形之一的，应当依法从轻或者减轻行政处罚：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（一）已满十四周岁不满十八周岁的人实施违法行为的；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（二）主动消除或者减轻违法行为危害后果的；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（三）属初次违法，无主观恶意，危害后果较轻的；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（四）受他人胁迫、诱骗实施违法行为的；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（五）积极配合水行政执法机关查处违法行为有立功表现的；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lastRenderedPageBreak/>
        <w:t xml:space="preserve">　　（六）在共同违法行为中起次要或者辅助作用的；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（七）对我市重点项目、重点工程建设及招商引资项目，确需处罚的，按最低限处罚，并须经局领导班子集体讨论决定后报市政府主管领导批准；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（八）涉案财物或者违法所得较少且社会危害性较小的；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（九）法律、法规、规章规定的其他应当从轻或者减轻行政处罚的情形。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当事人有上述第（一）、（二）、（三）、（四）、（五）项情形之一的，应当减轻处罚。有上述从轻处罚情形的，应当根据违法行为的事实、性质、情节及社会危害程度和主观过错等因素，在法定处罚限度内选择较轻的处罚；有减轻处罚情形的，在低于法定处罚限度选择较轻的处罚。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第八条  违法当事人有下列情形之一的，依法从重处罚：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（一）严重危害公共安全、人身健康、生命财产安全、生态环境安全或者严重扰乱社会管理秩序、市场经济秩序的；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（二）不听劝阻，多次实施违法行为，或者在违法行为被处罚后继续实施同一违法行为，屡教不改的；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（三）抗拒检查、阻碍执法的；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（四）在水行政执法机关对违法行为进行调查取证过程中，故意隐瞒事实，弄虚作假或者伪造、隐藏、销毁、拒绝提供违法行为证据的；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（五）违法情节、危害后果严重的；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lastRenderedPageBreak/>
        <w:t xml:space="preserve">　　（六）同一违法事实涉及两类以上违法行为的；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（七）水行政机关已经作出责令停止或者限期改正、责令采取补救措施决定后，继续实施违法行为和不在限期内改正或采取补救措施的；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（八）共同实施违法行为中起主要作用的；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（九）胁迫、诱骗他人或者教唆未成年人实施违法行为的；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（十）对举报人、证人打击报复的；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（十一）法律、法规、规章规定的其他应当从重处罚的情形。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有上述从重处罚情形的，应当根据违法行为的事实、性质、情节及社会危害程序和主观过错等因素，在法定处罚限度内选择较重的处罚。有上述第（一）、（二）、（三）项情形之一的，应当参照最高执行标准处罚。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第十条  当事人的违法行为同时具有从轻和从重情节的，应当按照情节的轻重进行裁量。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第十一条  当事人的违法行为涉嫌犯罪的，应当依法移送司法机关追究刑事责任，不得以行政处罚代替刑事处罚。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第十二条  行政处罚自由裁量标准依照《辽宁省水利厅水行政处罚裁量权执行标准（试行）》（辽水政监〔2016〕213号文件印发，辽水政监〔2018〕18号文件修订）执行。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第十三条  行政处罚实行“先例”制度。即，对违法行</w:t>
      </w:r>
      <w:r w:rsidRPr="00713AC5">
        <w:rPr>
          <w:rFonts w:ascii="仿宋_GB2312" w:eastAsia="仿宋_GB2312" w:hint="eastAsia"/>
          <w:sz w:val="32"/>
          <w:szCs w:val="32"/>
        </w:rPr>
        <w:lastRenderedPageBreak/>
        <w:t xml:space="preserve">为作出的行政处罚决定，应当作为本行政机关以后对同类违法行为进行处罚的先例。适用先例制度的对象，应当是事实、性质、情节、社会危害程度和当事人主观过错相当的违法行为。适用先例制度的结果，应当使相当的违法行为受到的行政处罚的种类、幅度以及程序一致。参照先例，不妨碍本行政执法机关在说明特殊理由的前提下做出例外的裁量。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第十四条  行政处罚说明制度的适用。行政处罚决定应当就违法行为的事实、性质、情节、社会危害程度和当事人主观过错等因素及最终选择的处罚种类、幅度等情况做出详细说明，说明应当充分，理由应当与行政处罚结果相关联。其中当场做出行政处罚决定的，应当向当事人当面做出口头说明，并据实记录在案，由当事人签字或者盖章；一般程序做出行政处罚决定的，应当向当事人做出书面说明，并收入行政处罚案卷。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第三章  行政许可自由裁量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第十五条  市、县（区）水行政机关应当依据本级政府公布的行政许可事项目录，实施行政许可权力，并按照本级政府有关职权取消、下放、合并等决定，及时进行动态调整，不得继续实施或者变相实施已经取消和下放的行政许可审批项目。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第十六条  实施水行政许可应当根据法律、法规和规章的规定编制申请材料清单，并向社会公示。在受理许可申请</w:t>
      </w:r>
      <w:r w:rsidRPr="00713AC5">
        <w:rPr>
          <w:rFonts w:ascii="仿宋_GB2312" w:eastAsia="仿宋_GB2312" w:hint="eastAsia"/>
          <w:sz w:val="32"/>
          <w:szCs w:val="32"/>
        </w:rPr>
        <w:lastRenderedPageBreak/>
        <w:t xml:space="preserve">过程中，应当依据申请材料与申请事项、办理结果的必要因果关系，针对实际情况合理确定申请人必须提交的前置要件。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第十七条  市、县（区）水行政机关要认真贯彻落实“放管服”改革要求，积极推行“三集中三到位”行政许可审批工作模式和“一站式”服务、一次性告知、一个窗口办结等制度及“最多跑一次”改革。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第十八条  申请人提交的申请材料不全，具有下列情形之一的，应当予以受理：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（一）法律、法规和规章规定的申请人应当提交的身份（法人）证明、其他机关的批准文件等材料不全，但可以通过其他途径获取的；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（二）申请材料存在错误，但申请人可以当场更正的；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（三）申请材料清单中虽已有列明，但根据实际情况该申请材料与审批结果没有必然依赖关系，申请人没有事前准备的；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（四）对我市重点项目、重点工程建设、招商引资项目及实行“并联审批”由其他部门转交的涉水行政许可审批，办事窗口应当及时受理，实行“绿色通道”制度，由相关业务单位指派代办员，全程跟踪服务；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（五）申请人办理的许可事项具备基本审批条件，但其提交的申报材料不全，申请人作出在特定时间内补齐材料或者通过其他途径补齐材料承诺的。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lastRenderedPageBreak/>
        <w:t xml:space="preserve">　　第十九条  严格按照法律、法规和规章规定的行政许可中介服务事项，对中介服务机构（或申请人）提供的技术报告组织专家审查。专家审查所需要的时间不计入行政许可法定办结和承诺办结时限。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第二十条  行政许可申请存在下列情形之一的，水行政机关不予批准：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（一）申请事项中存在法律、法规、规章及上级主管部门规范性文件明确禁止的内容的；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（二）对社会公共安全和公共利益可能产生重大损害的；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（三）对第三者权益没有合法保障的；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（四）不符合国家强制性标准的；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（五）所申请事项理由不正当，或者不符合国家产业发展政策的；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（六）需要征求相关部门意见的在征求意见时，相关部门未予同意的；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（七）需要组织专家对申请人提供的技术报告进行审查，专家审查未通过的。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第四章  行政检查自由裁量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第二十一条  规范行政执法检查行为，针对不同的检查事项情况分别按照有关制度、要求和方式开展检查活动。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对企业（个体业户）实施的有关水资源管理、水土保持、渔业生产等年度例行执法检查实行计划管理制度。各执法单</w:t>
      </w:r>
      <w:r w:rsidRPr="00713AC5">
        <w:rPr>
          <w:rFonts w:ascii="仿宋_GB2312" w:eastAsia="仿宋_GB2312" w:hint="eastAsia"/>
          <w:sz w:val="32"/>
          <w:szCs w:val="32"/>
        </w:rPr>
        <w:lastRenderedPageBreak/>
        <w:t xml:space="preserve">位应当于每年1月31日前制定年度执法检查计划，明确检查事项、依据、对象以及检查时间、方式等内容，经主管行政机关法制机构审查后报同级政府审批。执法检查计划一经政府批准，应当严格执行，并按照《本溪市水务局涉企行政执法检查计划管理制度》的要求履行程序。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对水利工程建设质量与安全、水产品生产质量与安全等涉及公共安全、人身健康的执法检查，实行备案审查制度。凡按照上级政府和主管部门统一部署开展的，或本单位履行职责自主开展的此类执法检查专项行动，行动开展之前均应制定方案，经本级主管机关法制机构审查后实施。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对经本级机关行政许可批准实施的事项，应当加强实施过程中的监督检查和指导服务，实行定期检查制度，建立与审批相对人紧密联系和指导服务机制，督导其按照批准的方案、条件、方式、标准等实施。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对河道水域岸线保护、水资源保护、水生野生动植物保护、河道堤防工程及其他水工程（生态工程）等，应当加强日常巡查管理，建立日常巡查、监察制度和机制，加大突击检查频率和覆盖面。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第二十二条  各项行政执法检查均应做好检查记录，形成检查结果报告，归集整理检查全过程资料存档。检查结果报告经执法单位主要领导签字加盖公章后，报本级主管机关法制机构备案，并通过部门网站向社会公示。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lastRenderedPageBreak/>
        <w:t xml:space="preserve">　　第二十三条  对监管对象的各项执法检查应当派出2名以上的行政执法人员，当场送达检查通知书，主动出示执法人员身份证件，填写检查登记表，记录检查事项和检查结果，并由被检单位相关负责人签字（加盖公章）。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行政执法检查不得影响被检查对象的正常生产经营活动，执法人员未经本单位领导同意不得约见被检查企业的主要负责人。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第五章  行政强制自由裁量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第二十四条  县（区）水行政机关在实施行政强制措施前，应当采用非行政强制措施。采用非行政强制措施可以达到行政管理目的的，不得实施行政强制措施。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第二十五条  采取查封、扣押物品等强制措施的，应当妥善保管。因保管不善造成财产损毁的，应当依法承担赔偿责任。实施行政强制措施后，应当及时查清事实，在法定期限内作出处理决定。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第二十六条  依法实施行政强制措施的，应当事先以书面形式进行督促催告，当事人在指定期限内已履行行政决定的，不再实施行政强制措施。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第二十七条  依法作出金钱给付内容的行政措施，当事人逾期不履行的，应当依法加处罚款或者加收滞纳金，加处罚款或者加收滞纳金的数额，不得超出当事人金钱给付的数额。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lastRenderedPageBreak/>
        <w:t xml:space="preserve">　　第二十八条  实行行政强制措施，可以在不损害国家利益、公共利益和他人利益的情况下，与当事人依法达成执行和解，签订执行协议。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第六章  行政征收自由裁量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第二十九条  县（区）水行政机关行政征收实行收费清单管理制度。依法确定收费项目清单，个人、企业不承担清单以外的任何行政收费性质的缴费义务。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第三十条  各项征收必须严格依据法定的征收标准、程序、时限，严格按照流程进行征收，严格遵守“收支两条线”制度。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第三十一条  承担行政征收职责的单位应当加强对收费岗位工作人员政治意识、纪律意识、责任意识和服务意识的教育，规范履行职责行为，建立健全岗位责任制，为缴费人提供便捷服务。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第三十二条  除符合法定条件及上级人民政府决定给予减免的行政征收事项以外，征收单位和个人不得随意减免。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第七章 附则 </w:t>
      </w:r>
    </w:p>
    <w:p w:rsidR="00B27092" w:rsidRPr="00713AC5" w:rsidRDefault="00B27092" w:rsidP="00B27092">
      <w:pPr>
        <w:rPr>
          <w:rFonts w:ascii="仿宋_GB2312" w:eastAsia="仿宋_GB2312" w:hint="eastAsia"/>
          <w:sz w:val="32"/>
          <w:szCs w:val="32"/>
        </w:rPr>
      </w:pPr>
      <w:r w:rsidRPr="00713AC5">
        <w:rPr>
          <w:rFonts w:ascii="仿宋_GB2312" w:eastAsia="仿宋_GB2312" w:hint="eastAsia"/>
          <w:sz w:val="32"/>
          <w:szCs w:val="32"/>
        </w:rPr>
        <w:t xml:space="preserve">　　第三十三条  行政许可、行政检查等具体事项自由裁量权执行标准，根据实际工作需要，另行制定。 </w:t>
      </w:r>
    </w:p>
    <w:p w:rsidR="00B27092" w:rsidRPr="00713AC5" w:rsidRDefault="00B27092">
      <w:pPr>
        <w:rPr>
          <w:rFonts w:ascii="仿宋_GB2312" w:eastAsia="仿宋_GB2312" w:hint="eastAsia"/>
          <w:sz w:val="32"/>
          <w:szCs w:val="32"/>
        </w:rPr>
      </w:pPr>
      <w:r w:rsidRPr="00713AC5">
        <w:rPr>
          <w:rFonts w:ascii="仿宋_GB2312" w:eastAsia="仿宋_GB2312" w:hint="eastAsia"/>
          <w:sz w:val="32"/>
          <w:szCs w:val="32"/>
        </w:rPr>
        <w:t xml:space="preserve">　　第三十四条  本规定自印发之日起施行。 </w:t>
      </w:r>
    </w:p>
    <w:sectPr w:rsidR="00B27092" w:rsidRPr="00713AC5" w:rsidSect="00A973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79D" w:rsidRDefault="00D3379D" w:rsidP="00B27092">
      <w:r>
        <w:separator/>
      </w:r>
    </w:p>
  </w:endnote>
  <w:endnote w:type="continuationSeparator" w:id="1">
    <w:p w:rsidR="00D3379D" w:rsidRDefault="00D3379D" w:rsidP="00B270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79D" w:rsidRDefault="00D3379D" w:rsidP="00B27092">
      <w:r>
        <w:separator/>
      </w:r>
    </w:p>
  </w:footnote>
  <w:footnote w:type="continuationSeparator" w:id="1">
    <w:p w:rsidR="00D3379D" w:rsidRDefault="00D3379D" w:rsidP="00B270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092"/>
    <w:rsid w:val="000D406F"/>
    <w:rsid w:val="001A10A9"/>
    <w:rsid w:val="00553828"/>
    <w:rsid w:val="00555EEB"/>
    <w:rsid w:val="00713AC5"/>
    <w:rsid w:val="00741E0A"/>
    <w:rsid w:val="00905BFA"/>
    <w:rsid w:val="009E0A57"/>
    <w:rsid w:val="00A973E5"/>
    <w:rsid w:val="00B27092"/>
    <w:rsid w:val="00B84548"/>
    <w:rsid w:val="00D3379D"/>
    <w:rsid w:val="00F445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7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7092"/>
    <w:rPr>
      <w:sz w:val="18"/>
      <w:szCs w:val="18"/>
    </w:rPr>
  </w:style>
  <w:style w:type="paragraph" w:styleId="a4">
    <w:name w:val="footer"/>
    <w:basedOn w:val="a"/>
    <w:link w:val="Char0"/>
    <w:uiPriority w:val="99"/>
    <w:semiHidden/>
    <w:unhideWhenUsed/>
    <w:rsid w:val="00B270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709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738</Words>
  <Characters>4208</Characters>
  <Application>Microsoft Office Word</Application>
  <DocSecurity>0</DocSecurity>
  <Lines>35</Lines>
  <Paragraphs>9</Paragraphs>
  <ScaleCrop>false</ScaleCrop>
  <Company>home</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RL</cp:lastModifiedBy>
  <cp:revision>7</cp:revision>
  <cp:lastPrinted>2023-04-25T06:48:00Z</cp:lastPrinted>
  <dcterms:created xsi:type="dcterms:W3CDTF">2020-12-22T07:53:00Z</dcterms:created>
  <dcterms:modified xsi:type="dcterms:W3CDTF">2023-10-25T07:01:00Z</dcterms:modified>
</cp:coreProperties>
</file>