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44"/>
          <w:szCs w:val="44"/>
        </w:rPr>
        <w:t>年度涉企行政执法检查计划表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726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行政执法机关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检查对象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明山区民宗局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从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家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清真食品经营登记证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 xml:space="preserve">名录库中按照 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%的比例随机抽取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 xml:space="preserve"> 家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清真食品经营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《辽宁省清真食品生产经营管理条例》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2023年二季度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现场调阅审查或查验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明山区民宗局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从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家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清真食品经营登记证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 xml:space="preserve">名录库中按照 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%的比例随机抽取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1-2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清真食品经营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《辽宁省清真食品生产经营管理条例》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2023年三季度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现场调阅审查或查验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4" w:type="default"/>
      <w:footerReference r:id="rId5" w:type="even"/>
      <w:pgSz w:w="16838" w:h="11906" w:orient="landscape"/>
      <w:pgMar w:top="1587" w:right="2098" w:bottom="1474" w:left="1984" w:header="720" w:footer="720" w:gutter="0"/>
      <w:paperSrc w:first="0" w:oth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M4ZWZkNTc5YzZhNmI1ZTgxZWYyMGE3NjM3NjFmYj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2023-02-10T06:09:00Z</dcterms:created>
  <dc:creator>Administrator</dc:creator>
  <cp:lastModifiedBy>赵</cp:lastModifiedBy>
  <dcterms:modified xsi:type="dcterms:W3CDTF">2023-02-14T05:35:26Z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8E54A6BB1D264101938E5BCD565E77F4</vt:lpwstr>
  </property>
</Properties>
</file>