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本溪</w:t>
      </w:r>
      <w:r>
        <w:rPr>
          <w:rFonts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市</w:t>
      </w: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明山区</w:t>
      </w:r>
      <w:r>
        <w:rPr>
          <w:rFonts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PingFangSC-Regular" w:hAnsi="PingFangSC-Regular" w:eastAsia="PingFangSC-Regular" w:cs="PingFangSC-Regular"/>
          <w:i w:val="0"/>
          <w:iCs w:val="0"/>
          <w:caps w:val="0"/>
          <w:color w:val="444444"/>
          <w:spacing w:val="0"/>
          <w:sz w:val="24"/>
          <w:szCs w:val="24"/>
        </w:rPr>
      </w:pPr>
      <w:r>
        <w:rPr>
          <w:rFonts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法制审核人员培训制度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方正小标宋简体" w:hAnsi="方正小标宋简体" w:eastAsia="方正小标宋简体" w:cs="方正小标宋简体"/>
          <w:b/>
          <w:bCs/>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ascii="黑体" w:hAnsi="宋体" w:eastAsia="黑体" w:cs="黑体"/>
          <w:b w:val="0"/>
          <w:bCs w:val="0"/>
          <w:i w:val="0"/>
          <w:iCs w:val="0"/>
          <w:caps w:val="0"/>
          <w:color w:val="333333"/>
          <w:spacing w:val="0"/>
          <w:sz w:val="32"/>
          <w:szCs w:val="32"/>
          <w:bdr w:val="none" w:color="auto" w:sz="0" w:space="0"/>
          <w:shd w:val="clear" w:fill="FFFFFF"/>
        </w:rPr>
        <w:t>第一条</w:t>
      </w:r>
      <w:r>
        <w:rPr>
          <w:rFonts w:ascii="楷体" w:hAnsi="楷体" w:eastAsia="楷体" w:cs="楷体"/>
          <w:b/>
          <w:bCs/>
          <w:i w:val="0"/>
          <w:iCs w:val="0"/>
          <w:caps w:val="0"/>
          <w:color w:val="333333"/>
          <w:spacing w:val="0"/>
          <w:sz w:val="32"/>
          <w:szCs w:val="32"/>
          <w:bdr w:val="none" w:color="auto" w:sz="0" w:space="0"/>
          <w:shd w:val="clear" w:fill="FFFFFF"/>
        </w:rPr>
        <w:t> </w:t>
      </w:r>
      <w:r>
        <w:rPr>
          <w:rFonts w:ascii="仿宋_GB2312" w:hAnsi="PingFangSC-Regular" w:eastAsia="仿宋_GB2312" w:cs="仿宋_GB2312"/>
          <w:i w:val="0"/>
          <w:iCs w:val="0"/>
          <w:caps w:val="0"/>
          <w:color w:val="333333"/>
          <w:spacing w:val="0"/>
          <w:sz w:val="32"/>
          <w:szCs w:val="32"/>
          <w:bdr w:val="none" w:color="auto" w:sz="0" w:space="0"/>
          <w:shd w:val="clear" w:fill="FFFFFF"/>
        </w:rPr>
        <w:t>为进一步提升法制审核人员业务素质和执法水平，保障法制审核人员正确运用法律履行职责，结合工作实际，制订本制度。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第二条</w:t>
      </w:r>
      <w:r>
        <w:rPr>
          <w:rFonts w:ascii="华文仿宋" w:hAnsi="华文仿宋" w:eastAsia="华文仿宋" w:cs="华文仿宋"/>
          <w:i w:val="0"/>
          <w:iCs w:val="0"/>
          <w:caps w:val="0"/>
          <w:color w:val="333333"/>
          <w:spacing w:val="0"/>
          <w:sz w:val="32"/>
          <w:szCs w:val="32"/>
          <w:bdr w:val="none" w:color="auto" w:sz="0" w:space="0"/>
          <w:shd w:val="clear" w:fill="FFFFFF"/>
        </w:rPr>
        <w:t>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法制审核人员培训学习应结合民政执法工作的特点和法制审核人员的现状，按照常抓不懈、讲求实效、统一安排、分步实施的原则，切实提高法制审核人员的整体素质、职业道德和依法行政的水平。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第三条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法制审核人员学习培训由局办公室负责组织实施。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第四条</w:t>
      </w:r>
      <w:r>
        <w:rPr>
          <w:rFonts w:hint="default" w:ascii="华文仿宋" w:hAnsi="华文仿宋" w:eastAsia="华文仿宋" w:cs="华文仿宋"/>
          <w:i w:val="0"/>
          <w:iCs w:val="0"/>
          <w:caps w:val="0"/>
          <w:color w:val="333333"/>
          <w:spacing w:val="0"/>
          <w:sz w:val="32"/>
          <w:szCs w:val="32"/>
          <w:bdr w:val="none" w:color="auto" w:sz="0" w:space="0"/>
          <w:shd w:val="clear" w:fill="FFFFFF"/>
        </w:rPr>
        <w:t>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根据法制审核工作需要和岗位要求，局办公室提出学习培训需求，制定年度学习培训计划，明确培训的时间、内容、方式，做到有计划、有要求、有成效。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第五条</w:t>
      </w:r>
      <w:r>
        <w:rPr>
          <w:rFonts w:hint="default" w:ascii="华文仿宋" w:hAnsi="华文仿宋" w:eastAsia="华文仿宋" w:cs="华文仿宋"/>
          <w:i w:val="0"/>
          <w:iCs w:val="0"/>
          <w:caps w:val="0"/>
          <w:color w:val="333333"/>
          <w:spacing w:val="0"/>
          <w:sz w:val="32"/>
          <w:szCs w:val="32"/>
          <w:bdr w:val="none" w:color="auto" w:sz="0" w:space="0"/>
          <w:shd w:val="clear" w:fill="FFFFFF"/>
        </w:rPr>
        <w:t>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学习培训的主要内容：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default" w:ascii="仿宋_GB2312" w:hAnsi="PingFangSC-Regular" w:eastAsia="仿宋_GB2312" w:cs="仿宋_GB2312"/>
          <w:i w:val="0"/>
          <w:iCs w:val="0"/>
          <w:caps w:val="0"/>
          <w:color w:val="333333"/>
          <w:spacing w:val="0"/>
          <w:sz w:val="32"/>
          <w:szCs w:val="32"/>
          <w:bdr w:val="none" w:color="auto" w:sz="0" w:space="0"/>
          <w:shd w:val="clear" w:fill="FFFFFF"/>
        </w:rPr>
        <w:t>（一）民政行政执法相关法律、法规、规章；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default" w:ascii="仿宋_GB2312" w:hAnsi="PingFangSC-Regular" w:eastAsia="仿宋_GB2312" w:cs="仿宋_GB2312"/>
          <w:i w:val="0"/>
          <w:iCs w:val="0"/>
          <w:caps w:val="0"/>
          <w:color w:val="333333"/>
          <w:spacing w:val="0"/>
          <w:sz w:val="32"/>
          <w:szCs w:val="32"/>
          <w:bdr w:val="none" w:color="auto" w:sz="0" w:space="0"/>
          <w:shd w:val="clear" w:fill="FFFFFF"/>
        </w:rPr>
        <w:t>（二）行政处罚法、国家赔偿法、行政诉讼法、行政复议法等通用法律法规；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default" w:ascii="仿宋_GB2312" w:hAnsi="PingFangSC-Regular" w:eastAsia="仿宋_GB2312" w:cs="仿宋_GB2312"/>
          <w:i w:val="0"/>
          <w:iCs w:val="0"/>
          <w:caps w:val="0"/>
          <w:color w:val="333333"/>
          <w:spacing w:val="0"/>
          <w:sz w:val="32"/>
          <w:szCs w:val="32"/>
          <w:bdr w:val="none" w:color="auto" w:sz="0" w:space="0"/>
          <w:shd w:val="clear" w:fill="FFFFFF"/>
        </w:rPr>
        <w:t>（三）国家、省、市相关政策、规章制度以及有关文件；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default" w:ascii="仿宋_GB2312" w:hAnsi="PingFangSC-Regular" w:eastAsia="仿宋_GB2312" w:cs="仿宋_GB2312"/>
          <w:i w:val="0"/>
          <w:iCs w:val="0"/>
          <w:caps w:val="0"/>
          <w:color w:val="333333"/>
          <w:spacing w:val="0"/>
          <w:sz w:val="32"/>
          <w:szCs w:val="32"/>
          <w:bdr w:val="none" w:color="auto" w:sz="0" w:space="0"/>
          <w:shd w:val="clear" w:fill="FFFFFF"/>
        </w:rPr>
        <w:t>（四）执法人员职业道德规范和职业技能的基本常识；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default" w:ascii="仿宋_GB2312" w:hAnsi="PingFangSC-Regular" w:eastAsia="仿宋_GB2312" w:cs="仿宋_GB2312"/>
          <w:i w:val="0"/>
          <w:iCs w:val="0"/>
          <w:caps w:val="0"/>
          <w:color w:val="333333"/>
          <w:spacing w:val="0"/>
          <w:sz w:val="32"/>
          <w:szCs w:val="32"/>
          <w:bdr w:val="none" w:color="auto" w:sz="0" w:space="0"/>
          <w:shd w:val="clear" w:fill="FFFFFF"/>
        </w:rPr>
        <w:t>（五）其它与民政行政执法相关的业务知识。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default" w:ascii="仿宋_GB2312" w:hAnsi="PingFangSC-Regular" w:eastAsia="仿宋_GB2312" w:cs="仿宋_GB2312"/>
          <w:i w:val="0"/>
          <w:iCs w:val="0"/>
          <w:caps w:val="0"/>
          <w:color w:val="333333"/>
          <w:spacing w:val="0"/>
          <w:sz w:val="32"/>
          <w:szCs w:val="32"/>
          <w:bdr w:val="none" w:color="auto" w:sz="0" w:space="0"/>
          <w:shd w:val="clear" w:fill="FFFFFF"/>
        </w:rPr>
        <w:t>新颁布或修改的法律、法规、规章，应及时组织学习培训。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第六条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学习培训分为日常学习和集中培训两部分，采取自学、专题讲座、案例教学、交流研讨、座谈调研等多种形式进行。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第七条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日常学习应围绕岗位要求所具备的综合素质、业务知识和基本技能，采取个人自学与集中学习相结合的方式进行。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第八条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集中培训的内容应围绕相关法律法规知识，可邀请专家或律师统一进行授课。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第九条</w:t>
      </w:r>
      <w:r>
        <w:rPr>
          <w:rFonts w:hint="default" w:ascii="华文仿宋" w:hAnsi="华文仿宋" w:eastAsia="华文仿宋" w:cs="华文仿宋"/>
          <w:i w:val="0"/>
          <w:iCs w:val="0"/>
          <w:caps w:val="0"/>
          <w:color w:val="333333"/>
          <w:spacing w:val="0"/>
          <w:sz w:val="32"/>
          <w:szCs w:val="32"/>
          <w:bdr w:val="none" w:color="auto" w:sz="0" w:space="0"/>
          <w:shd w:val="clear" w:fill="FFFFFF"/>
        </w:rPr>
        <w:t>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鼓励、支持法制审核人员参加国家统一法律职业资格考试等多层次的法律学习。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第十条</w:t>
      </w:r>
      <w:r>
        <w:rPr>
          <w:rFonts w:hint="default" w:ascii="华文仿宋" w:hAnsi="华文仿宋" w:eastAsia="华文仿宋" w:cs="华文仿宋"/>
          <w:i w:val="0"/>
          <w:iCs w:val="0"/>
          <w:caps w:val="0"/>
          <w:color w:val="333333"/>
          <w:spacing w:val="0"/>
          <w:sz w:val="32"/>
          <w:szCs w:val="32"/>
          <w:bdr w:val="none" w:color="auto" w:sz="0" w:space="0"/>
          <w:shd w:val="clear" w:fill="FFFFFF"/>
        </w:rPr>
        <w:t>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局办公室</w:t>
      </w:r>
      <w:bookmarkStart w:id="0" w:name="_GoBack"/>
      <w:bookmarkEnd w:id="0"/>
      <w:r>
        <w:rPr>
          <w:rFonts w:hint="default" w:ascii="仿宋_GB2312" w:hAnsi="PingFangSC-Regular" w:eastAsia="仿宋_GB2312" w:cs="仿宋_GB2312"/>
          <w:i w:val="0"/>
          <w:iCs w:val="0"/>
          <w:caps w:val="0"/>
          <w:color w:val="333333"/>
          <w:spacing w:val="0"/>
          <w:sz w:val="32"/>
          <w:szCs w:val="32"/>
          <w:bdr w:val="none" w:color="auto" w:sz="0" w:space="0"/>
          <w:shd w:val="clear" w:fill="FFFFFF"/>
        </w:rPr>
        <w:t>负责学习培训情况的整理、归档、统计工作，如实记载人员参加学习培训情况。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PingFangSC-Regular" w:hAnsi="PingFangSC-Regular" w:eastAsia="PingFangSC-Regular" w:cs="PingFangSC-Regular"/>
          <w:i w:val="0"/>
          <w:iCs w:val="0"/>
          <w:caps w:val="0"/>
          <w:color w:val="444444"/>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第十一条 </w:t>
      </w:r>
      <w:r>
        <w:rPr>
          <w:rFonts w:hint="default" w:ascii="仿宋_GB2312" w:hAnsi="PingFangSC-Regular" w:eastAsia="仿宋_GB2312" w:cs="仿宋_GB2312"/>
          <w:i w:val="0"/>
          <w:iCs w:val="0"/>
          <w:caps w:val="0"/>
          <w:color w:val="333333"/>
          <w:spacing w:val="0"/>
          <w:sz w:val="32"/>
          <w:szCs w:val="32"/>
          <w:bdr w:val="none" w:color="auto" w:sz="0" w:space="0"/>
          <w:shd w:val="clear" w:fill="FFFFFF"/>
        </w:rPr>
        <w:t>本制度自印发之日起实施。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F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2022-07-19T05:56:05Z</dcterms:created>
  <dc:creator>Administrator</dc:creator>
  <cp:lastModifiedBy>Administrator</cp:lastModifiedBy>
  <dcterms:modified xsi:type="dcterms:W3CDTF">2022-07-19T05:56:49Z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054E52EBF5A24DB88D14CFDA8E9ACDDE</vt:lpwstr>
  </property>
</Properties>
</file>